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4A0" w:firstRow="1" w:lastRow="0" w:firstColumn="1" w:lastColumn="0" w:noHBand="0" w:noVBand="1"/>
      </w:tblPr>
      <w:tblGrid>
        <w:gridCol w:w="4395"/>
        <w:gridCol w:w="283"/>
        <w:gridCol w:w="4394"/>
      </w:tblGrid>
      <w:tr w:rsidR="00585E14" w:rsidRPr="0061796D" w14:paraId="631B5D18" w14:textId="77777777" w:rsidTr="00C02A78">
        <w:tc>
          <w:tcPr>
            <w:tcW w:w="4395" w:type="dxa"/>
            <w:shd w:val="clear" w:color="auto" w:fill="auto"/>
          </w:tcPr>
          <w:p w14:paraId="1F26697C" w14:textId="6C10707F" w:rsidR="00585E14" w:rsidRPr="00585E14" w:rsidRDefault="00585E14" w:rsidP="00585E14">
            <w:pPr>
              <w:jc w:val="center"/>
              <w:rPr>
                <w:b/>
                <w:bCs/>
                <w:lang w:val="cs-CZ"/>
              </w:rPr>
            </w:pPr>
            <w:r w:rsidRPr="00585E14">
              <w:rPr>
                <w:b/>
                <w:bCs/>
                <w:lang w:val="cs-CZ"/>
              </w:rPr>
              <w:t>DOHODA</w:t>
            </w:r>
            <w:r w:rsidR="00580409">
              <w:rPr>
                <w:b/>
                <w:bCs/>
                <w:lang w:val="cs-CZ"/>
              </w:rPr>
              <w:t xml:space="preserve"> </w:t>
            </w:r>
            <w:r w:rsidR="00580409" w:rsidRPr="00585E14">
              <w:rPr>
                <w:b/>
                <w:bCs/>
                <w:lang w:val="cs-CZ"/>
              </w:rPr>
              <w:t>O</w:t>
            </w:r>
            <w:r w:rsidRPr="00585E14">
              <w:rPr>
                <w:b/>
                <w:bCs/>
                <w:lang w:val="cs-CZ"/>
              </w:rPr>
              <w:t xml:space="preserve"> MLČENLIVOSTI</w:t>
            </w:r>
          </w:p>
        </w:tc>
        <w:tc>
          <w:tcPr>
            <w:tcW w:w="283" w:type="dxa"/>
            <w:tcBorders>
              <w:right w:val="nil"/>
            </w:tcBorders>
          </w:tcPr>
          <w:p w14:paraId="1FA980B5" w14:textId="77777777" w:rsidR="00585E14" w:rsidRPr="00C02A78" w:rsidRDefault="00585E14" w:rsidP="00133963"/>
        </w:tc>
        <w:tc>
          <w:tcPr>
            <w:tcW w:w="4394" w:type="dxa"/>
            <w:tcBorders>
              <w:left w:val="nil"/>
            </w:tcBorders>
            <w:shd w:val="clear" w:color="auto" w:fill="auto"/>
          </w:tcPr>
          <w:p w14:paraId="44BB5E3F" w14:textId="55F516CA" w:rsidR="00585E14" w:rsidRPr="00585E14" w:rsidRDefault="00585E14" w:rsidP="00585E14">
            <w:pPr>
              <w:jc w:val="center"/>
              <w:rPr>
                <w:b/>
                <w:bCs/>
                <w:lang w:val="cs-CZ"/>
              </w:rPr>
            </w:pPr>
            <w:r w:rsidRPr="006951EA">
              <w:rPr>
                <w:b/>
                <w:bCs/>
                <w:lang w:val="cs-CZ"/>
              </w:rPr>
              <w:t>NON-DISCLOSURE</w:t>
            </w:r>
            <w:r>
              <w:rPr>
                <w:b/>
                <w:bCs/>
                <w:lang w:val="cs-CZ"/>
              </w:rPr>
              <w:t xml:space="preserve"> </w:t>
            </w:r>
            <w:r w:rsidRPr="006951EA">
              <w:rPr>
                <w:b/>
                <w:bCs/>
                <w:lang w:val="cs-CZ"/>
              </w:rPr>
              <w:t>AGREEMENT</w:t>
            </w:r>
          </w:p>
        </w:tc>
      </w:tr>
      <w:tr w:rsidR="00C02A78" w:rsidRPr="0061796D" w14:paraId="5937E6B7" w14:textId="77777777" w:rsidTr="00C02A78">
        <w:tc>
          <w:tcPr>
            <w:tcW w:w="4395" w:type="dxa"/>
            <w:shd w:val="clear" w:color="auto" w:fill="auto"/>
          </w:tcPr>
          <w:p w14:paraId="2F289480" w14:textId="4267C3B7" w:rsidR="00C02A78" w:rsidRPr="00A0158B" w:rsidRDefault="00C02A78" w:rsidP="00133963">
            <w:pPr>
              <w:rPr>
                <w:lang w:val="cs-CZ"/>
              </w:rPr>
            </w:pPr>
            <w:r w:rsidRPr="00A0158B">
              <w:rPr>
                <w:lang w:val="cs-CZ"/>
              </w:rPr>
              <w:t xml:space="preserve">Tuto </w:t>
            </w:r>
            <w:r w:rsidR="00585E14">
              <w:rPr>
                <w:lang w:val="cs-CZ"/>
              </w:rPr>
              <w:t>dohodu</w:t>
            </w:r>
            <w:r w:rsidRPr="00A0158B">
              <w:rPr>
                <w:lang w:val="cs-CZ"/>
              </w:rPr>
              <w:t xml:space="preserve"> uzavřely strany:</w:t>
            </w:r>
          </w:p>
        </w:tc>
        <w:tc>
          <w:tcPr>
            <w:tcW w:w="283" w:type="dxa"/>
            <w:tcBorders>
              <w:right w:val="nil"/>
            </w:tcBorders>
          </w:tcPr>
          <w:p w14:paraId="42D5D016" w14:textId="77777777" w:rsidR="00C02A78" w:rsidRPr="00C02A78" w:rsidRDefault="00C02A78" w:rsidP="00133963"/>
        </w:tc>
        <w:tc>
          <w:tcPr>
            <w:tcW w:w="4394" w:type="dxa"/>
            <w:tcBorders>
              <w:left w:val="nil"/>
            </w:tcBorders>
            <w:shd w:val="clear" w:color="auto" w:fill="auto"/>
          </w:tcPr>
          <w:p w14:paraId="1F9CB0D0" w14:textId="77777777" w:rsidR="00C02A78" w:rsidRPr="005C17A9" w:rsidRDefault="00C02A78" w:rsidP="00133963">
            <w:r w:rsidRPr="005C17A9">
              <w:t xml:space="preserve">This agreement has been entered into by: </w:t>
            </w:r>
          </w:p>
        </w:tc>
      </w:tr>
      <w:tr w:rsidR="00C02A78" w:rsidRPr="0061796D" w14:paraId="6FFB3476" w14:textId="77777777" w:rsidTr="00C02A78">
        <w:tc>
          <w:tcPr>
            <w:tcW w:w="4395" w:type="dxa"/>
            <w:shd w:val="clear" w:color="auto" w:fill="auto"/>
          </w:tcPr>
          <w:p w14:paraId="509ADB70" w14:textId="577A8FAA" w:rsidR="00C02A78" w:rsidRPr="00A0158B" w:rsidRDefault="00154F11" w:rsidP="00111697">
            <w:pPr>
              <w:pStyle w:val="CZParties"/>
              <w:spacing w:line="276" w:lineRule="auto"/>
            </w:pPr>
            <w:r w:rsidRPr="00154F11">
              <w:rPr>
                <w:b/>
                <w:bCs/>
              </w:rPr>
              <w:t>Aluprogress a.s.</w:t>
            </w:r>
            <w:r w:rsidRPr="00154F11">
              <w:t>, IČO: 040 86 538, se sídlem Písecká 1329, 386 01 Strakonice, Česká republika, zapsaná</w:t>
            </w:r>
            <w:r w:rsidR="00580409">
              <w:t xml:space="preserve"> </w:t>
            </w:r>
            <w:r w:rsidR="00580409" w:rsidRPr="00154F11">
              <w:t>v</w:t>
            </w:r>
            <w:r w:rsidR="00580409">
              <w:t> </w:t>
            </w:r>
            <w:r w:rsidRPr="00154F11">
              <w:t>obchodním rejstříku vedeném</w:t>
            </w:r>
            <w:r w:rsidR="00580409">
              <w:t xml:space="preserve"> </w:t>
            </w:r>
            <w:r w:rsidR="00580409" w:rsidRPr="00154F11">
              <w:t>u</w:t>
            </w:r>
            <w:r w:rsidR="00580409">
              <w:t> </w:t>
            </w:r>
            <w:r w:rsidRPr="00154F11">
              <w:t>Krajského soudu</w:t>
            </w:r>
            <w:r w:rsidR="00580409">
              <w:t xml:space="preserve"> </w:t>
            </w:r>
            <w:r w:rsidR="00580409" w:rsidRPr="00154F11">
              <w:t>v</w:t>
            </w:r>
            <w:r w:rsidR="00580409">
              <w:t> </w:t>
            </w:r>
            <w:r w:rsidRPr="00154F11">
              <w:t>Českých Budějovicích pod sp. zn. B 2337</w:t>
            </w:r>
            <w:r w:rsidR="005172C9">
              <w:t xml:space="preserve"> („</w:t>
            </w:r>
            <w:r w:rsidR="005172C9" w:rsidRPr="005172C9">
              <w:rPr>
                <w:b/>
                <w:bCs/>
              </w:rPr>
              <w:t>Společnost</w:t>
            </w:r>
            <w:r w:rsidR="005172C9">
              <w:t>“); a</w:t>
            </w:r>
          </w:p>
        </w:tc>
        <w:tc>
          <w:tcPr>
            <w:tcW w:w="283" w:type="dxa"/>
            <w:tcBorders>
              <w:right w:val="nil"/>
            </w:tcBorders>
          </w:tcPr>
          <w:p w14:paraId="5FE1332C" w14:textId="77777777" w:rsidR="00C02A78" w:rsidRPr="00C02A78" w:rsidRDefault="00C02A78" w:rsidP="00133963">
            <w:pPr>
              <w:rPr>
                <w:highlight w:val="yellow"/>
              </w:rPr>
            </w:pPr>
          </w:p>
        </w:tc>
        <w:tc>
          <w:tcPr>
            <w:tcW w:w="4394" w:type="dxa"/>
            <w:tcBorders>
              <w:left w:val="nil"/>
            </w:tcBorders>
            <w:shd w:val="clear" w:color="auto" w:fill="auto"/>
          </w:tcPr>
          <w:p w14:paraId="5D7516DE" w14:textId="01CC6C7B" w:rsidR="00C02A78" w:rsidRPr="005C17A9" w:rsidRDefault="00154F11" w:rsidP="00111697">
            <w:pPr>
              <w:pStyle w:val="XParties"/>
              <w:spacing w:line="276" w:lineRule="auto"/>
            </w:pPr>
            <w:r>
              <w:rPr>
                <w:b/>
                <w:bCs/>
              </w:rPr>
              <w:t>Aluprogress a.s.</w:t>
            </w:r>
            <w:r w:rsidRPr="00154F11">
              <w:t>,</w:t>
            </w:r>
            <w:r>
              <w:rPr>
                <w:b/>
                <w:bCs/>
              </w:rPr>
              <w:t xml:space="preserve"> </w:t>
            </w:r>
            <w:r w:rsidRPr="00154F11">
              <w:t xml:space="preserve">ID No: 040 86 538, with its registered seat at Písecká 1329, 386 01 Strakonice, </w:t>
            </w:r>
            <w:r>
              <w:t>Czech republic</w:t>
            </w:r>
            <w:r w:rsidRPr="00154F11">
              <w:t xml:space="preserve">, </w:t>
            </w:r>
            <w:r>
              <w:t>registered in the Commercial Register maintained by the Municipal Regional Court</w:t>
            </w:r>
            <w:r w:rsidRPr="00154F11">
              <w:t xml:space="preserve"> </w:t>
            </w:r>
            <w:r>
              <w:t>in</w:t>
            </w:r>
            <w:r w:rsidRPr="00154F11">
              <w:t xml:space="preserve"> Česk</w:t>
            </w:r>
            <w:r>
              <w:t>é</w:t>
            </w:r>
            <w:r w:rsidRPr="00154F11">
              <w:t xml:space="preserve"> Budějovic</w:t>
            </w:r>
            <w:r>
              <w:t>e</w:t>
            </w:r>
            <w:r w:rsidRPr="00154F11">
              <w:t xml:space="preserve"> </w:t>
            </w:r>
            <w:r>
              <w:t xml:space="preserve">under file No. </w:t>
            </w:r>
            <w:r w:rsidRPr="00154F11">
              <w:t>B 2337</w:t>
            </w:r>
            <w:r>
              <w:t xml:space="preserve"> (the “</w:t>
            </w:r>
            <w:r w:rsidRPr="006951EA">
              <w:rPr>
                <w:b/>
                <w:bCs/>
              </w:rPr>
              <w:t>Company</w:t>
            </w:r>
            <w:r>
              <w:t>”); and</w:t>
            </w:r>
          </w:p>
        </w:tc>
      </w:tr>
      <w:tr w:rsidR="00C02A78" w:rsidRPr="0061796D" w14:paraId="2FBEE6CE" w14:textId="77777777" w:rsidTr="00C02A78">
        <w:tc>
          <w:tcPr>
            <w:tcW w:w="4395" w:type="dxa"/>
            <w:shd w:val="clear" w:color="auto" w:fill="auto"/>
          </w:tcPr>
          <w:p w14:paraId="12236332" w14:textId="40275F8A" w:rsidR="00C02A78" w:rsidRPr="00A0158B" w:rsidRDefault="00154F11" w:rsidP="00111697">
            <w:pPr>
              <w:pStyle w:val="CZParties"/>
              <w:spacing w:line="276" w:lineRule="auto"/>
            </w:pPr>
            <w:r w:rsidRPr="00585E14">
              <w:rPr>
                <w:b/>
                <w:bCs/>
                <w:highlight w:val="yellow"/>
              </w:rPr>
              <w:t>[___]</w:t>
            </w:r>
            <w:r w:rsidRPr="00154F11">
              <w:t xml:space="preserve">, IČO: </w:t>
            </w:r>
            <w:r w:rsidRPr="00585E14">
              <w:rPr>
                <w:highlight w:val="yellow"/>
              </w:rPr>
              <w:t>[___]</w:t>
            </w:r>
            <w:r w:rsidRPr="00154F11">
              <w:t xml:space="preserve">, se sídlem </w:t>
            </w:r>
            <w:r w:rsidRPr="00585E14">
              <w:rPr>
                <w:highlight w:val="yellow"/>
              </w:rPr>
              <w:t>[___]</w:t>
            </w:r>
            <w:r w:rsidRPr="00154F11">
              <w:t>, zapsaná</w:t>
            </w:r>
            <w:r w:rsidR="00580409">
              <w:t xml:space="preserve"> </w:t>
            </w:r>
            <w:r w:rsidR="00580409" w:rsidRPr="00154F11">
              <w:t>v</w:t>
            </w:r>
            <w:r w:rsidR="00580409">
              <w:t> </w:t>
            </w:r>
            <w:r w:rsidRPr="00154F11">
              <w:t>obchodním rejstříku vedeném</w:t>
            </w:r>
            <w:r w:rsidR="00580409">
              <w:t xml:space="preserve"> </w:t>
            </w:r>
            <w:r w:rsidR="00580409" w:rsidRPr="00154F11">
              <w:t>u</w:t>
            </w:r>
            <w:r w:rsidR="00580409">
              <w:t> </w:t>
            </w:r>
            <w:r w:rsidRPr="00585E14">
              <w:rPr>
                <w:highlight w:val="yellow"/>
              </w:rPr>
              <w:t>[___]</w:t>
            </w:r>
            <w:r w:rsidRPr="00154F11">
              <w:t xml:space="preserve"> pod sp. zn. </w:t>
            </w:r>
            <w:r w:rsidRPr="00585E14">
              <w:rPr>
                <w:highlight w:val="yellow"/>
              </w:rPr>
              <w:t>[___]</w:t>
            </w:r>
            <w:r>
              <w:t xml:space="preserve"> („</w:t>
            </w:r>
            <w:r w:rsidR="00E67065">
              <w:rPr>
                <w:b/>
                <w:bCs/>
              </w:rPr>
              <w:t>Zájemce</w:t>
            </w:r>
            <w:r>
              <w:t>“)</w:t>
            </w:r>
            <w:r w:rsidR="005172C9">
              <w:t>;</w:t>
            </w:r>
            <w:r>
              <w:t xml:space="preserve"> </w:t>
            </w:r>
          </w:p>
        </w:tc>
        <w:tc>
          <w:tcPr>
            <w:tcW w:w="283" w:type="dxa"/>
            <w:tcBorders>
              <w:right w:val="nil"/>
            </w:tcBorders>
          </w:tcPr>
          <w:p w14:paraId="72A1409D" w14:textId="77777777" w:rsidR="00C02A78" w:rsidRPr="00C02A78" w:rsidRDefault="00C02A78" w:rsidP="00133963">
            <w:pPr>
              <w:rPr>
                <w:highlight w:val="yellow"/>
              </w:rPr>
            </w:pPr>
          </w:p>
        </w:tc>
        <w:tc>
          <w:tcPr>
            <w:tcW w:w="4394" w:type="dxa"/>
            <w:tcBorders>
              <w:left w:val="nil"/>
            </w:tcBorders>
            <w:shd w:val="clear" w:color="auto" w:fill="auto"/>
          </w:tcPr>
          <w:p w14:paraId="2F38C3DE" w14:textId="7C09AA03" w:rsidR="00C02A78" w:rsidRPr="006951EA" w:rsidRDefault="00154F11" w:rsidP="00111697">
            <w:pPr>
              <w:pStyle w:val="XParties"/>
              <w:spacing w:line="276" w:lineRule="auto"/>
            </w:pPr>
            <w:r w:rsidRPr="00585E14">
              <w:rPr>
                <w:b/>
                <w:bCs/>
                <w:highlight w:val="yellow"/>
                <w:lang w:val="en-US"/>
              </w:rPr>
              <w:t>[___]</w:t>
            </w:r>
            <w:r w:rsidR="006951EA" w:rsidRPr="006951EA">
              <w:rPr>
                <w:lang w:val="en-US"/>
              </w:rPr>
              <w:t>,</w:t>
            </w:r>
            <w:r w:rsidR="00117197">
              <w:rPr>
                <w:lang w:val="en-US"/>
              </w:rPr>
              <w:t xml:space="preserve"> </w:t>
            </w:r>
            <w:r w:rsidR="00117197" w:rsidRPr="006951EA">
              <w:t>I</w:t>
            </w:r>
            <w:r w:rsidR="00117197">
              <w:t xml:space="preserve">D </w:t>
            </w:r>
            <w:r w:rsidR="00117197" w:rsidRPr="006951EA">
              <w:t xml:space="preserve">No.: </w:t>
            </w:r>
            <w:r w:rsidR="00117197" w:rsidRPr="00585E14">
              <w:rPr>
                <w:highlight w:val="yellow"/>
              </w:rPr>
              <w:t>[___]</w:t>
            </w:r>
            <w:r w:rsidR="00117197">
              <w:t xml:space="preserve">, </w:t>
            </w:r>
            <w:r w:rsidR="00117197" w:rsidRPr="006951EA">
              <w:t xml:space="preserve"> </w:t>
            </w:r>
            <w:r w:rsidR="006951EA" w:rsidRPr="006951EA">
              <w:t xml:space="preserve">with its registered seat at </w:t>
            </w:r>
            <w:r w:rsidRPr="00585E14">
              <w:rPr>
                <w:highlight w:val="yellow"/>
              </w:rPr>
              <w:t>[___]</w:t>
            </w:r>
            <w:r w:rsidR="006951EA" w:rsidRPr="006951EA">
              <w:t>,</w:t>
            </w:r>
            <w:r w:rsidR="00117197">
              <w:t xml:space="preserve"> </w:t>
            </w:r>
            <w:r w:rsidR="006951EA" w:rsidRPr="006951EA">
              <w:t xml:space="preserve">registered in the Commercial Register maintained by the </w:t>
            </w:r>
            <w:r w:rsidRPr="00585E14">
              <w:rPr>
                <w:highlight w:val="yellow"/>
              </w:rPr>
              <w:t>[___]</w:t>
            </w:r>
            <w:r w:rsidR="006951EA" w:rsidRPr="006951EA">
              <w:t xml:space="preserve"> under file No. </w:t>
            </w:r>
            <w:r w:rsidRPr="00585E14">
              <w:rPr>
                <w:highlight w:val="yellow"/>
              </w:rPr>
              <w:t>[___]</w:t>
            </w:r>
            <w:r w:rsidR="006951EA" w:rsidRPr="006951EA">
              <w:t>, (the “</w:t>
            </w:r>
            <w:r w:rsidR="006951EA" w:rsidRPr="006951EA">
              <w:rPr>
                <w:b/>
                <w:bCs/>
              </w:rPr>
              <w:t>Potential Investor</w:t>
            </w:r>
            <w:r w:rsidR="006951EA" w:rsidRPr="006951EA">
              <w:t>”)</w:t>
            </w:r>
            <w:r>
              <w:t>;</w:t>
            </w:r>
          </w:p>
        </w:tc>
      </w:tr>
      <w:tr w:rsidR="00C02A78" w:rsidRPr="0061796D" w14:paraId="02FB206E" w14:textId="77777777" w:rsidTr="00C02A78">
        <w:tc>
          <w:tcPr>
            <w:tcW w:w="4395" w:type="dxa"/>
            <w:shd w:val="clear" w:color="auto" w:fill="auto"/>
          </w:tcPr>
          <w:p w14:paraId="49A9276E" w14:textId="1E578EC1" w:rsidR="00C02A78" w:rsidRPr="00A0158B" w:rsidRDefault="00C02A78" w:rsidP="00111697">
            <w:pPr>
              <w:spacing w:line="276" w:lineRule="auto"/>
              <w:rPr>
                <w:bCs/>
                <w:highlight w:val="yellow"/>
                <w:lang w:val="cs-CZ"/>
              </w:rPr>
            </w:pPr>
            <w:bookmarkStart w:id="0" w:name="OLE_LINK2"/>
            <w:r w:rsidRPr="00A0158B">
              <w:rPr>
                <w:lang w:val="cs-CZ"/>
              </w:rPr>
              <w:t>(společně jako “</w:t>
            </w:r>
            <w:r w:rsidRPr="00A0158B">
              <w:rPr>
                <w:b/>
                <w:lang w:val="cs-CZ"/>
              </w:rPr>
              <w:t>Strany</w:t>
            </w:r>
            <w:r w:rsidRPr="00A0158B">
              <w:rPr>
                <w:bCs/>
                <w:lang w:val="cs-CZ"/>
              </w:rPr>
              <w:t>”)</w:t>
            </w:r>
            <w:r>
              <w:rPr>
                <w:bCs/>
                <w:lang w:val="cs-CZ"/>
              </w:rPr>
              <w:t>.</w:t>
            </w:r>
            <w:bookmarkEnd w:id="0"/>
          </w:p>
        </w:tc>
        <w:tc>
          <w:tcPr>
            <w:tcW w:w="283" w:type="dxa"/>
            <w:tcBorders>
              <w:right w:val="nil"/>
            </w:tcBorders>
          </w:tcPr>
          <w:p w14:paraId="795A8272" w14:textId="77777777" w:rsidR="00C02A78" w:rsidRPr="00C02A78" w:rsidRDefault="00C02A78" w:rsidP="00133963"/>
        </w:tc>
        <w:tc>
          <w:tcPr>
            <w:tcW w:w="4394" w:type="dxa"/>
            <w:tcBorders>
              <w:left w:val="nil"/>
            </w:tcBorders>
            <w:shd w:val="clear" w:color="auto" w:fill="auto"/>
          </w:tcPr>
          <w:p w14:paraId="204B474D" w14:textId="5C681B31" w:rsidR="00C02A78" w:rsidRPr="005C17A9" w:rsidRDefault="006951EA" w:rsidP="00111697">
            <w:pPr>
              <w:spacing w:line="276" w:lineRule="auto"/>
              <w:rPr>
                <w:bCs/>
                <w:highlight w:val="yellow"/>
              </w:rPr>
            </w:pPr>
            <w:r w:rsidRPr="006951EA">
              <w:t>(jointly hereinafter as “</w:t>
            </w:r>
            <w:r w:rsidRPr="006951EA">
              <w:rPr>
                <w:b/>
                <w:bCs/>
              </w:rPr>
              <w:t>Parties</w:t>
            </w:r>
            <w:r w:rsidRPr="006951EA">
              <w:t>”).</w:t>
            </w:r>
          </w:p>
        </w:tc>
      </w:tr>
      <w:tr w:rsidR="00C02A78" w:rsidRPr="0061796D" w14:paraId="6C0C27F5" w14:textId="77777777" w:rsidTr="00C02A78">
        <w:tc>
          <w:tcPr>
            <w:tcW w:w="4395" w:type="dxa"/>
            <w:shd w:val="clear" w:color="auto" w:fill="auto"/>
          </w:tcPr>
          <w:p w14:paraId="7717CC10" w14:textId="235263E5" w:rsidR="00C02A78" w:rsidRPr="00230014" w:rsidRDefault="00C02A78" w:rsidP="00111697">
            <w:pPr>
              <w:spacing w:line="276" w:lineRule="auto"/>
              <w:rPr>
                <w:b/>
                <w:bCs/>
                <w:lang w:val="cs-CZ"/>
              </w:rPr>
            </w:pPr>
            <w:r w:rsidRPr="00230014">
              <w:rPr>
                <w:b/>
                <w:bCs/>
                <w:lang w:val="cs-CZ"/>
              </w:rPr>
              <w:t>VZHLEDEM</w:t>
            </w:r>
            <w:r w:rsidR="00580409">
              <w:rPr>
                <w:b/>
                <w:bCs/>
                <w:lang w:val="cs-CZ"/>
              </w:rPr>
              <w:t xml:space="preserve"> </w:t>
            </w:r>
            <w:r w:rsidR="00580409" w:rsidRPr="00230014">
              <w:rPr>
                <w:b/>
                <w:bCs/>
                <w:lang w:val="cs-CZ"/>
              </w:rPr>
              <w:t>K</w:t>
            </w:r>
            <w:r w:rsidR="00580409">
              <w:rPr>
                <w:b/>
                <w:bCs/>
                <w:lang w:val="cs-CZ"/>
              </w:rPr>
              <w:t> </w:t>
            </w:r>
            <w:r w:rsidRPr="00230014">
              <w:rPr>
                <w:b/>
                <w:bCs/>
                <w:lang w:val="cs-CZ"/>
              </w:rPr>
              <w:t>TOMU, ŽE</w:t>
            </w:r>
            <w:r w:rsidRPr="00230014">
              <w:rPr>
                <w:lang w:val="cs-CZ"/>
              </w:rPr>
              <w:t>:</w:t>
            </w:r>
          </w:p>
        </w:tc>
        <w:tc>
          <w:tcPr>
            <w:tcW w:w="283" w:type="dxa"/>
            <w:tcBorders>
              <w:right w:val="nil"/>
            </w:tcBorders>
          </w:tcPr>
          <w:p w14:paraId="66FC732E" w14:textId="77777777" w:rsidR="00C02A78" w:rsidRPr="00C02A78" w:rsidRDefault="00C02A78" w:rsidP="00133963"/>
        </w:tc>
        <w:tc>
          <w:tcPr>
            <w:tcW w:w="4394" w:type="dxa"/>
            <w:tcBorders>
              <w:left w:val="nil"/>
            </w:tcBorders>
            <w:shd w:val="clear" w:color="auto" w:fill="auto"/>
          </w:tcPr>
          <w:p w14:paraId="7DDB95BB" w14:textId="77777777" w:rsidR="00C02A78" w:rsidRPr="005C17A9" w:rsidRDefault="00C02A78" w:rsidP="00111697">
            <w:pPr>
              <w:spacing w:line="276" w:lineRule="auto"/>
            </w:pPr>
            <w:r w:rsidRPr="00230014">
              <w:rPr>
                <w:b/>
                <w:bCs/>
              </w:rPr>
              <w:t>WHEREAS</w:t>
            </w:r>
            <w:r w:rsidRPr="005C17A9">
              <w:t>:</w:t>
            </w:r>
          </w:p>
        </w:tc>
      </w:tr>
      <w:tr w:rsidR="00E67065" w:rsidRPr="00E67065" w14:paraId="52CFCA7E" w14:textId="77777777" w:rsidTr="00C02A78">
        <w:tc>
          <w:tcPr>
            <w:tcW w:w="4395" w:type="dxa"/>
            <w:shd w:val="clear" w:color="auto" w:fill="auto"/>
          </w:tcPr>
          <w:p w14:paraId="08A3F1B7" w14:textId="1BBDB58B" w:rsidR="00E67065" w:rsidDel="00E67065" w:rsidRDefault="00E67065" w:rsidP="00111697">
            <w:pPr>
              <w:pStyle w:val="CZPreambule"/>
              <w:spacing w:line="276" w:lineRule="auto"/>
            </w:pPr>
            <w:r>
              <w:t xml:space="preserve">Ohledně </w:t>
            </w:r>
            <w:r w:rsidR="00A810B4">
              <w:t>Společnosti</w:t>
            </w:r>
            <w:r>
              <w:t xml:space="preserve"> bylo zahájeno insolvenční řízení vedené Krajským soudem v Českých Budějovicích pod sp. zn.</w:t>
            </w:r>
            <w:r w:rsidR="00A810B4">
              <w:rPr>
                <w:lang w:val="en-US"/>
              </w:rPr>
              <w:t xml:space="preserve"> </w:t>
            </w:r>
            <w:r w:rsidR="00A810B4" w:rsidRPr="00A810B4">
              <w:rPr>
                <w:lang w:val="en-US"/>
              </w:rPr>
              <w:tab/>
              <w:t>KSCB 46 INS 22220 / 2024</w:t>
            </w:r>
            <w:r>
              <w:rPr>
                <w:lang w:val="en-US"/>
              </w:rPr>
              <w:t xml:space="preserve">. </w:t>
            </w:r>
          </w:p>
        </w:tc>
        <w:tc>
          <w:tcPr>
            <w:tcW w:w="283" w:type="dxa"/>
            <w:tcBorders>
              <w:right w:val="nil"/>
            </w:tcBorders>
          </w:tcPr>
          <w:p w14:paraId="147CB7C0" w14:textId="77777777" w:rsidR="00E67065" w:rsidRPr="00E67065" w:rsidRDefault="00E67065" w:rsidP="00133963"/>
        </w:tc>
        <w:tc>
          <w:tcPr>
            <w:tcW w:w="4394" w:type="dxa"/>
            <w:tcBorders>
              <w:left w:val="nil"/>
            </w:tcBorders>
            <w:shd w:val="clear" w:color="auto" w:fill="auto"/>
          </w:tcPr>
          <w:p w14:paraId="0FA1F20E" w14:textId="3C3222F5" w:rsidR="00E67065" w:rsidRPr="00E67065" w:rsidRDefault="00A810B4" w:rsidP="00111697">
            <w:pPr>
              <w:pStyle w:val="XPreambule"/>
              <w:spacing w:line="276" w:lineRule="auto"/>
            </w:pPr>
            <w:r w:rsidRPr="00A810B4">
              <w:t xml:space="preserve">Insolvency proceedings have been initiated against the </w:t>
            </w:r>
            <w:r>
              <w:t>Company</w:t>
            </w:r>
            <w:r w:rsidRPr="00A810B4">
              <w:t xml:space="preserve"> by the Regional Court in České Budějovice under the case number KSCB 46 INS 22220 / 2024.</w:t>
            </w:r>
          </w:p>
        </w:tc>
      </w:tr>
      <w:tr w:rsidR="00C02A78" w:rsidRPr="0061796D" w14:paraId="35A7A2A1" w14:textId="77777777" w:rsidTr="00C02A78">
        <w:tc>
          <w:tcPr>
            <w:tcW w:w="4395" w:type="dxa"/>
            <w:shd w:val="clear" w:color="auto" w:fill="auto"/>
          </w:tcPr>
          <w:p w14:paraId="2965DA1E" w14:textId="48CE8134" w:rsidR="00C02A78" w:rsidRPr="005C17A9" w:rsidRDefault="00E67065" w:rsidP="00111697">
            <w:pPr>
              <w:pStyle w:val="CZPreambule"/>
              <w:spacing w:line="276" w:lineRule="auto"/>
            </w:pPr>
            <w:r>
              <w:t>Zájemce</w:t>
            </w:r>
            <w:r w:rsidR="00585E14">
              <w:t xml:space="preserve"> </w:t>
            </w:r>
            <w:r>
              <w:t xml:space="preserve">projevil zájem o informace o </w:t>
            </w:r>
            <w:r w:rsidR="00DE5AEC">
              <w:t>Společnosti</w:t>
            </w:r>
            <w:r>
              <w:t xml:space="preserve"> v souvislosti s možným nabytím  </w:t>
            </w:r>
            <w:r w:rsidR="00DE5AEC">
              <w:t xml:space="preserve">účasti </w:t>
            </w:r>
            <w:r>
              <w:t>v</w:t>
            </w:r>
            <w:r w:rsidR="00DE5AEC">
              <w:t>e Společnosti</w:t>
            </w:r>
            <w:r>
              <w:t xml:space="preserve"> na základě reorganizačního plánu</w:t>
            </w:r>
            <w:r w:rsidR="00585E14">
              <w:t xml:space="preserve"> („</w:t>
            </w:r>
            <w:r w:rsidR="00585E14" w:rsidRPr="00585E14">
              <w:rPr>
                <w:b/>
                <w:bCs/>
              </w:rPr>
              <w:t>Akvizice</w:t>
            </w:r>
            <w:r w:rsidR="00585E14">
              <w:t>“)</w:t>
            </w:r>
            <w:r w:rsidR="00580409">
              <w:t xml:space="preserve"> </w:t>
            </w:r>
            <w:r w:rsidR="00F94D01">
              <w:t xml:space="preserve">a </w:t>
            </w:r>
            <w:r w:rsidR="007D5825">
              <w:t>Společnost</w:t>
            </w:r>
            <w:r w:rsidR="00F94D01">
              <w:t xml:space="preserve"> je připraven</w:t>
            </w:r>
            <w:r w:rsidR="007D5825">
              <w:t>a</w:t>
            </w:r>
            <w:r w:rsidR="00F94D01">
              <w:t xml:space="preserve"> mu informace poskytnout na základě podmínek obsažených v této dohodě</w:t>
            </w:r>
            <w:r w:rsidR="00585E14">
              <w:t xml:space="preserve"> („</w:t>
            </w:r>
            <w:r w:rsidR="00585E14" w:rsidRPr="00585E14">
              <w:rPr>
                <w:b/>
                <w:bCs/>
              </w:rPr>
              <w:t>Dohoda</w:t>
            </w:r>
            <w:r w:rsidR="00585E14">
              <w:t>“).</w:t>
            </w:r>
          </w:p>
        </w:tc>
        <w:tc>
          <w:tcPr>
            <w:tcW w:w="283" w:type="dxa"/>
            <w:tcBorders>
              <w:right w:val="nil"/>
            </w:tcBorders>
          </w:tcPr>
          <w:p w14:paraId="436D6AF8" w14:textId="77777777" w:rsidR="00C02A78" w:rsidRPr="00C02A78" w:rsidRDefault="00C02A78" w:rsidP="00133963"/>
        </w:tc>
        <w:tc>
          <w:tcPr>
            <w:tcW w:w="4394" w:type="dxa"/>
            <w:tcBorders>
              <w:left w:val="nil"/>
            </w:tcBorders>
            <w:shd w:val="clear" w:color="auto" w:fill="auto"/>
          </w:tcPr>
          <w:p w14:paraId="57AD7D2A" w14:textId="21AA3262" w:rsidR="00C02A78" w:rsidRPr="00E50F81" w:rsidRDefault="00987146" w:rsidP="00987146">
            <w:pPr>
              <w:pStyle w:val="XPreambule"/>
              <w:spacing w:line="276" w:lineRule="auto"/>
              <w:rPr>
                <w:lang w:val="cs-CZ"/>
              </w:rPr>
            </w:pPr>
            <w:r w:rsidRPr="00987146">
              <w:rPr>
                <w:lang w:val="cs-CZ"/>
              </w:rPr>
              <w:t xml:space="preserve">The </w:t>
            </w:r>
            <w:r>
              <w:rPr>
                <w:lang w:val="cs-CZ"/>
              </w:rPr>
              <w:t>Potential Investor</w:t>
            </w:r>
            <w:r w:rsidRPr="00987146">
              <w:rPr>
                <w:lang w:val="cs-CZ"/>
              </w:rPr>
              <w:t xml:space="preserve"> has expressed an interest in information about the </w:t>
            </w:r>
            <w:r>
              <w:rPr>
                <w:lang w:val="cs-CZ"/>
              </w:rPr>
              <w:t>Company</w:t>
            </w:r>
            <w:r w:rsidRPr="00987146">
              <w:rPr>
                <w:lang w:val="cs-CZ"/>
              </w:rPr>
              <w:t xml:space="preserve"> in connection with a potential acquisition </w:t>
            </w:r>
            <w:r w:rsidR="00ED2D3F">
              <w:rPr>
                <w:lang w:val="cs-CZ"/>
              </w:rPr>
              <w:t xml:space="preserve">of an interest </w:t>
            </w:r>
            <w:r w:rsidRPr="00987146">
              <w:rPr>
                <w:lang w:val="cs-CZ"/>
              </w:rPr>
              <w:t xml:space="preserve">in the </w:t>
            </w:r>
            <w:r w:rsidR="00DE5AEC">
              <w:rPr>
                <w:lang w:val="cs-CZ"/>
              </w:rPr>
              <w:t>Company</w:t>
            </w:r>
            <w:r w:rsidR="00DE5AEC" w:rsidRPr="00987146">
              <w:rPr>
                <w:lang w:val="cs-CZ"/>
              </w:rPr>
              <w:t xml:space="preserve"> </w:t>
            </w:r>
            <w:r w:rsidRPr="00987146">
              <w:rPr>
                <w:lang w:val="cs-CZ"/>
              </w:rPr>
              <w:t>pursuant to a plan of reorganization (the "</w:t>
            </w:r>
            <w:r w:rsidRPr="00987146">
              <w:rPr>
                <w:b/>
                <w:bCs/>
                <w:lang w:val="cs-CZ"/>
              </w:rPr>
              <w:t>Acquisition</w:t>
            </w:r>
            <w:r w:rsidRPr="00987146">
              <w:rPr>
                <w:lang w:val="cs-CZ"/>
              </w:rPr>
              <w:t xml:space="preserve">"), and the </w:t>
            </w:r>
            <w:r>
              <w:rPr>
                <w:lang w:val="cs-CZ"/>
              </w:rPr>
              <w:t>Company</w:t>
            </w:r>
            <w:r w:rsidRPr="00987146">
              <w:rPr>
                <w:lang w:val="cs-CZ"/>
              </w:rPr>
              <w:t xml:space="preserve"> is prepared to provide the information to the </w:t>
            </w:r>
            <w:r>
              <w:rPr>
                <w:lang w:val="cs-CZ"/>
              </w:rPr>
              <w:t>Potential Investor</w:t>
            </w:r>
            <w:r w:rsidRPr="00987146">
              <w:rPr>
                <w:lang w:val="cs-CZ"/>
              </w:rPr>
              <w:t xml:space="preserve"> pursuant to the terms and conditions contained in this Agreement (the "</w:t>
            </w:r>
            <w:r w:rsidRPr="00987146">
              <w:rPr>
                <w:b/>
                <w:bCs/>
                <w:lang w:val="cs-CZ"/>
              </w:rPr>
              <w:t>Agreement</w:t>
            </w:r>
            <w:r w:rsidRPr="00987146">
              <w:rPr>
                <w:lang w:val="cs-CZ"/>
              </w:rPr>
              <w:t>")</w:t>
            </w:r>
            <w:r>
              <w:rPr>
                <w:lang w:val="cs-CZ"/>
              </w:rPr>
              <w:t>.</w:t>
            </w:r>
          </w:p>
        </w:tc>
      </w:tr>
      <w:tr w:rsidR="00C02A78" w:rsidRPr="0061796D" w14:paraId="741070F2" w14:textId="77777777" w:rsidTr="00C02A78">
        <w:tc>
          <w:tcPr>
            <w:tcW w:w="4395" w:type="dxa"/>
            <w:shd w:val="clear" w:color="auto" w:fill="auto"/>
          </w:tcPr>
          <w:p w14:paraId="7876294C" w14:textId="051235B1" w:rsidR="00C02A78" w:rsidRPr="00A0158B" w:rsidRDefault="00585E14" w:rsidP="00D607E3">
            <w:pPr>
              <w:pStyle w:val="CZ1"/>
            </w:pPr>
            <w:r>
              <w:t>DŮVĚRNÉ INFORMACE</w:t>
            </w:r>
          </w:p>
        </w:tc>
        <w:tc>
          <w:tcPr>
            <w:tcW w:w="283" w:type="dxa"/>
            <w:tcBorders>
              <w:right w:val="nil"/>
            </w:tcBorders>
          </w:tcPr>
          <w:p w14:paraId="681B3EB2" w14:textId="77777777" w:rsidR="00C02A78" w:rsidRPr="00C02A78" w:rsidRDefault="00C02A78" w:rsidP="00133963"/>
        </w:tc>
        <w:tc>
          <w:tcPr>
            <w:tcW w:w="4394" w:type="dxa"/>
            <w:tcBorders>
              <w:left w:val="nil"/>
            </w:tcBorders>
            <w:shd w:val="clear" w:color="auto" w:fill="auto"/>
          </w:tcPr>
          <w:p w14:paraId="784116B1" w14:textId="4A5CAD58" w:rsidR="00C02A78" w:rsidRPr="005C17A9" w:rsidRDefault="006951EA" w:rsidP="00D607E3">
            <w:pPr>
              <w:pStyle w:val="X1"/>
              <w:spacing w:line="276" w:lineRule="auto"/>
              <w:jc w:val="left"/>
            </w:pPr>
            <w:r w:rsidRPr="006951EA">
              <w:rPr>
                <w:bCs/>
              </w:rPr>
              <w:t>Confidential Information</w:t>
            </w:r>
          </w:p>
        </w:tc>
      </w:tr>
      <w:tr w:rsidR="006951EA" w:rsidRPr="0061796D" w14:paraId="22A3DA01" w14:textId="77777777" w:rsidTr="00C02A78">
        <w:tc>
          <w:tcPr>
            <w:tcW w:w="4395" w:type="dxa"/>
            <w:shd w:val="clear" w:color="auto" w:fill="auto"/>
          </w:tcPr>
          <w:p w14:paraId="35C9DC71" w14:textId="7B61EFDF" w:rsidR="006951EA" w:rsidRPr="00585E14" w:rsidRDefault="00585E14" w:rsidP="00111697">
            <w:pPr>
              <w:pStyle w:val="CZ2"/>
              <w:spacing w:line="276" w:lineRule="auto"/>
              <w:rPr>
                <w:rFonts w:eastAsia="Calibri"/>
                <w:lang w:val="en-GB"/>
              </w:rPr>
            </w:pPr>
            <w:r w:rsidRPr="00585E14">
              <w:rPr>
                <w:rFonts w:eastAsia="Calibri"/>
                <w:lang w:val="en-GB"/>
              </w:rPr>
              <w:t xml:space="preserve">Pro účely této </w:t>
            </w:r>
            <w:r w:rsidR="00CA1E07">
              <w:rPr>
                <w:rFonts w:eastAsia="Calibri"/>
                <w:lang w:val="en-GB"/>
              </w:rPr>
              <w:t>Dohody</w:t>
            </w:r>
            <w:r w:rsidRPr="00585E14">
              <w:rPr>
                <w:rFonts w:eastAsia="Calibri"/>
                <w:lang w:val="en-GB"/>
              </w:rPr>
              <w:t xml:space="preserve"> se pojmem „</w:t>
            </w:r>
            <w:r w:rsidRPr="00585E14">
              <w:rPr>
                <w:rFonts w:eastAsia="Calibri"/>
                <w:b/>
                <w:bCs/>
                <w:lang w:val="en-GB"/>
              </w:rPr>
              <w:t>Důvěrné informace</w:t>
            </w:r>
            <w:r w:rsidRPr="00585E14">
              <w:rPr>
                <w:rFonts w:eastAsia="Calibri"/>
                <w:lang w:val="en-GB"/>
              </w:rPr>
              <w:t>“ rozumí veškeré neveřejné informace</w:t>
            </w:r>
            <w:r w:rsidR="00580409">
              <w:rPr>
                <w:rFonts w:eastAsia="Calibri"/>
                <w:lang w:val="en-GB"/>
              </w:rPr>
              <w:t xml:space="preserve"> </w:t>
            </w:r>
            <w:r w:rsidR="00580409" w:rsidRPr="00585E14">
              <w:rPr>
                <w:rFonts w:eastAsia="Calibri"/>
                <w:lang w:val="en-GB"/>
              </w:rPr>
              <w:t>a</w:t>
            </w:r>
            <w:r w:rsidR="00580409">
              <w:rPr>
                <w:rFonts w:eastAsia="Calibri"/>
                <w:lang w:val="en-GB"/>
              </w:rPr>
              <w:t> </w:t>
            </w:r>
            <w:r w:rsidRPr="00585E14">
              <w:rPr>
                <w:rFonts w:eastAsia="Calibri"/>
                <w:lang w:val="en-GB"/>
              </w:rPr>
              <w:t>údaje týkající se Společnosti, jakož</w:t>
            </w:r>
            <w:r w:rsidR="00580409">
              <w:rPr>
                <w:rFonts w:eastAsia="Calibri"/>
                <w:lang w:val="en-GB"/>
              </w:rPr>
              <w:t xml:space="preserve"> </w:t>
            </w:r>
            <w:r w:rsidR="00580409" w:rsidRPr="00585E14">
              <w:rPr>
                <w:rFonts w:eastAsia="Calibri"/>
                <w:lang w:val="en-GB"/>
              </w:rPr>
              <w:t>i</w:t>
            </w:r>
            <w:r w:rsidR="00580409">
              <w:rPr>
                <w:rFonts w:eastAsia="Calibri"/>
                <w:lang w:val="en-GB"/>
              </w:rPr>
              <w:t> </w:t>
            </w:r>
            <w:r w:rsidRPr="00585E14">
              <w:rPr>
                <w:rFonts w:eastAsia="Calibri"/>
                <w:lang w:val="en-GB"/>
              </w:rPr>
              <w:t xml:space="preserve">veškeré další informace poskytnuté Společností, </w:t>
            </w:r>
            <w:r>
              <w:rPr>
                <w:rFonts w:eastAsia="Calibri"/>
                <w:lang w:val="en-GB"/>
              </w:rPr>
              <w:t>dalšími</w:t>
            </w:r>
            <w:r w:rsidRPr="00585E14">
              <w:rPr>
                <w:rFonts w:eastAsia="Calibri"/>
                <w:lang w:val="en-GB"/>
              </w:rPr>
              <w:t xml:space="preserve"> osobami nebo subjekty přímo či nepřímo spojenými se Společností</w:t>
            </w:r>
            <w:r w:rsidR="00580409">
              <w:rPr>
                <w:rFonts w:eastAsia="Calibri"/>
                <w:lang w:val="en-GB"/>
              </w:rPr>
              <w:t xml:space="preserve"> </w:t>
            </w:r>
            <w:r w:rsidR="00580409" w:rsidRPr="00585E14">
              <w:rPr>
                <w:rFonts w:eastAsia="Calibri"/>
                <w:lang w:val="en-GB"/>
              </w:rPr>
              <w:t>a</w:t>
            </w:r>
            <w:r w:rsidR="00580409">
              <w:rPr>
                <w:rFonts w:eastAsia="Calibri"/>
                <w:lang w:val="en-GB"/>
              </w:rPr>
              <w:t> </w:t>
            </w:r>
            <w:r w:rsidRPr="00585E14">
              <w:rPr>
                <w:rFonts w:eastAsia="Calibri"/>
                <w:lang w:val="en-GB"/>
              </w:rPr>
              <w:t xml:space="preserve">dalšími poradci, </w:t>
            </w:r>
            <w:r w:rsidRPr="00585E14">
              <w:rPr>
                <w:rFonts w:eastAsia="Calibri"/>
                <w:lang w:val="en-GB"/>
              </w:rPr>
              <w:lastRenderedPageBreak/>
              <w:t>zaměstnanci Společnosti nebo</w:t>
            </w:r>
            <w:r>
              <w:rPr>
                <w:rFonts w:eastAsia="Calibri"/>
                <w:lang w:val="en-GB"/>
              </w:rPr>
              <w:t xml:space="preserve"> poskytnuté</w:t>
            </w:r>
            <w:r w:rsidRPr="00585E14">
              <w:rPr>
                <w:rFonts w:eastAsia="Calibri"/>
                <w:lang w:val="en-GB"/>
              </w:rPr>
              <w:t xml:space="preserve"> jinak</w:t>
            </w:r>
            <w:r w:rsidR="00580409">
              <w:rPr>
                <w:rFonts w:eastAsia="Calibri"/>
                <w:lang w:val="en-GB"/>
              </w:rPr>
              <w:t xml:space="preserve"> </w:t>
            </w:r>
            <w:r w:rsidR="00580409" w:rsidRPr="00585E14">
              <w:rPr>
                <w:rFonts w:eastAsia="Calibri"/>
                <w:lang w:val="en-GB"/>
              </w:rPr>
              <w:t>v</w:t>
            </w:r>
            <w:r w:rsidR="00580409">
              <w:rPr>
                <w:rFonts w:eastAsia="Calibri"/>
                <w:lang w:val="en-GB"/>
              </w:rPr>
              <w:t> </w:t>
            </w:r>
            <w:r w:rsidRPr="00585E14">
              <w:rPr>
                <w:rFonts w:eastAsia="Calibri"/>
                <w:lang w:val="en-GB"/>
              </w:rPr>
              <w:t>souvislosti</w:t>
            </w:r>
            <w:r w:rsidR="00580409">
              <w:rPr>
                <w:rFonts w:eastAsia="Calibri"/>
                <w:lang w:val="en-GB"/>
              </w:rPr>
              <w:t xml:space="preserve"> </w:t>
            </w:r>
            <w:r w:rsidR="00580409" w:rsidRPr="00585E14">
              <w:rPr>
                <w:rFonts w:eastAsia="Calibri"/>
                <w:lang w:val="en-GB"/>
              </w:rPr>
              <w:t>s</w:t>
            </w:r>
            <w:r w:rsidR="00580409">
              <w:rPr>
                <w:rFonts w:eastAsia="Calibri"/>
                <w:lang w:val="en-GB"/>
              </w:rPr>
              <w:t> </w:t>
            </w:r>
            <w:r>
              <w:rPr>
                <w:rFonts w:eastAsia="Calibri"/>
                <w:lang w:val="en-GB"/>
              </w:rPr>
              <w:t>A</w:t>
            </w:r>
            <w:r w:rsidRPr="00585E14">
              <w:rPr>
                <w:rFonts w:eastAsia="Calibri"/>
                <w:lang w:val="en-GB"/>
              </w:rPr>
              <w:t>kvizicí</w:t>
            </w:r>
            <w:r w:rsidR="00580409">
              <w:rPr>
                <w:rFonts w:eastAsia="Calibri"/>
                <w:lang w:val="en-GB"/>
              </w:rPr>
              <w:t xml:space="preserve"> </w:t>
            </w:r>
            <w:r w:rsidR="00580409" w:rsidRPr="00585E14">
              <w:rPr>
                <w:rFonts w:eastAsia="Calibri"/>
                <w:lang w:val="en-GB"/>
              </w:rPr>
              <w:t>a</w:t>
            </w:r>
            <w:r w:rsidR="00580409">
              <w:rPr>
                <w:rFonts w:eastAsia="Calibri"/>
                <w:lang w:val="en-GB"/>
              </w:rPr>
              <w:t> </w:t>
            </w:r>
            <w:r w:rsidRPr="00585E14">
              <w:rPr>
                <w:rFonts w:eastAsia="Calibri"/>
                <w:lang w:val="en-GB"/>
              </w:rPr>
              <w:t>všemi jejími podmínkami</w:t>
            </w:r>
            <w:r w:rsidR="00580409">
              <w:rPr>
                <w:rFonts w:eastAsia="Calibri"/>
                <w:lang w:val="en-GB"/>
              </w:rPr>
              <w:t xml:space="preserve"> </w:t>
            </w:r>
            <w:r w:rsidR="00580409" w:rsidRPr="00585E14">
              <w:rPr>
                <w:rFonts w:eastAsia="Calibri"/>
                <w:lang w:val="en-GB"/>
              </w:rPr>
              <w:t>a</w:t>
            </w:r>
            <w:r w:rsidR="00580409">
              <w:rPr>
                <w:rFonts w:eastAsia="Calibri"/>
                <w:lang w:val="en-GB"/>
              </w:rPr>
              <w:t> </w:t>
            </w:r>
            <w:r w:rsidRPr="00585E14">
              <w:rPr>
                <w:rFonts w:eastAsia="Calibri"/>
                <w:lang w:val="en-GB"/>
              </w:rPr>
              <w:t xml:space="preserve">okolnostmi. Za </w:t>
            </w:r>
            <w:r w:rsidR="00060091">
              <w:rPr>
                <w:rFonts w:eastAsia="Calibri"/>
                <w:lang w:val="en-GB"/>
              </w:rPr>
              <w:t>D</w:t>
            </w:r>
            <w:r w:rsidRPr="00585E14">
              <w:rPr>
                <w:rFonts w:eastAsia="Calibri"/>
                <w:lang w:val="en-GB"/>
              </w:rPr>
              <w:t>ůvěrn</w:t>
            </w:r>
            <w:r w:rsidR="00060091">
              <w:rPr>
                <w:rFonts w:eastAsia="Calibri"/>
                <w:lang w:val="en-GB"/>
              </w:rPr>
              <w:t>ou</w:t>
            </w:r>
            <w:r w:rsidRPr="00585E14">
              <w:rPr>
                <w:rFonts w:eastAsia="Calibri"/>
                <w:lang w:val="en-GB"/>
              </w:rPr>
              <w:t xml:space="preserve"> informac</w:t>
            </w:r>
            <w:r w:rsidR="00060091">
              <w:rPr>
                <w:rFonts w:eastAsia="Calibri"/>
                <w:lang w:val="en-GB"/>
              </w:rPr>
              <w:t>i</w:t>
            </w:r>
            <w:r w:rsidRPr="00585E14">
              <w:rPr>
                <w:rFonts w:eastAsia="Calibri"/>
                <w:lang w:val="en-GB"/>
              </w:rPr>
              <w:t xml:space="preserve"> se považuje </w:t>
            </w:r>
            <w:r>
              <w:rPr>
                <w:rFonts w:eastAsia="Calibri"/>
                <w:lang w:val="en-GB"/>
              </w:rPr>
              <w:t>už jen</w:t>
            </w:r>
            <w:r w:rsidRPr="00585E14">
              <w:rPr>
                <w:rFonts w:eastAsia="Calibri"/>
                <w:lang w:val="en-GB"/>
              </w:rPr>
              <w:t xml:space="preserve"> skutečnost zahájení</w:t>
            </w:r>
            <w:r w:rsidR="00580409">
              <w:rPr>
                <w:rFonts w:eastAsia="Calibri"/>
                <w:lang w:val="en-GB"/>
              </w:rPr>
              <w:t xml:space="preserve"> </w:t>
            </w:r>
            <w:r w:rsidR="00580409" w:rsidRPr="00585E14">
              <w:rPr>
                <w:rFonts w:eastAsia="Calibri"/>
                <w:lang w:val="en-GB"/>
              </w:rPr>
              <w:t>a</w:t>
            </w:r>
            <w:r w:rsidR="00580409">
              <w:rPr>
                <w:rFonts w:eastAsia="Calibri"/>
                <w:lang w:val="en-GB"/>
              </w:rPr>
              <w:t> </w:t>
            </w:r>
            <w:r w:rsidRPr="00585E14">
              <w:rPr>
                <w:rFonts w:eastAsia="Calibri"/>
                <w:lang w:val="en-GB"/>
              </w:rPr>
              <w:t>průběh jednání mezi Společností</w:t>
            </w:r>
            <w:r w:rsidR="00580409">
              <w:rPr>
                <w:rFonts w:eastAsia="Calibri"/>
                <w:lang w:val="en-GB"/>
              </w:rPr>
              <w:t xml:space="preserve"> </w:t>
            </w:r>
            <w:r w:rsidR="00580409" w:rsidRPr="00585E14">
              <w:rPr>
                <w:rFonts w:eastAsia="Calibri"/>
                <w:lang w:val="en-GB"/>
              </w:rPr>
              <w:t>a</w:t>
            </w:r>
            <w:r w:rsidR="00580409">
              <w:rPr>
                <w:rFonts w:eastAsia="Calibri"/>
                <w:lang w:val="en-GB"/>
              </w:rPr>
              <w:t> </w:t>
            </w:r>
            <w:r w:rsidR="00987146">
              <w:rPr>
                <w:rFonts w:eastAsia="Calibri"/>
                <w:lang w:val="en-GB"/>
              </w:rPr>
              <w:t>Zájemcem</w:t>
            </w:r>
            <w:r w:rsidRPr="00585E14">
              <w:rPr>
                <w:rFonts w:eastAsia="Calibri"/>
                <w:lang w:val="en-GB"/>
              </w:rPr>
              <w:t>.</w:t>
            </w:r>
          </w:p>
        </w:tc>
        <w:tc>
          <w:tcPr>
            <w:tcW w:w="283" w:type="dxa"/>
            <w:tcBorders>
              <w:right w:val="nil"/>
            </w:tcBorders>
          </w:tcPr>
          <w:p w14:paraId="1C1A9D84" w14:textId="77777777" w:rsidR="006951EA" w:rsidRPr="005C17A9" w:rsidRDefault="006951EA" w:rsidP="006951EA"/>
        </w:tc>
        <w:tc>
          <w:tcPr>
            <w:tcW w:w="4394" w:type="dxa"/>
            <w:tcBorders>
              <w:left w:val="nil"/>
            </w:tcBorders>
            <w:shd w:val="clear" w:color="auto" w:fill="auto"/>
          </w:tcPr>
          <w:p w14:paraId="441988DA" w14:textId="3BE2F286" w:rsidR="006951EA" w:rsidRPr="005C17A9" w:rsidRDefault="006951EA" w:rsidP="00111697">
            <w:pPr>
              <w:pStyle w:val="X2"/>
              <w:spacing w:line="276" w:lineRule="auto"/>
            </w:pPr>
            <w:r w:rsidRPr="000D7886">
              <w:t>For the purpose of this Agreement, the term “</w:t>
            </w:r>
            <w:r w:rsidRPr="000D7886">
              <w:rPr>
                <w:b/>
              </w:rPr>
              <w:t>Confidential Information</w:t>
            </w:r>
            <w:r w:rsidRPr="000D7886">
              <w:t>” shall mean and include any and all non-public information and data concerning the Company, as well as all other information provided by</w:t>
            </w:r>
            <w:r>
              <w:t xml:space="preserve"> </w:t>
            </w:r>
            <w:r w:rsidRPr="000D7886">
              <w:t xml:space="preserve">the Company, other persons or entities directly or indirectly affiliated with the </w:t>
            </w:r>
            <w:r w:rsidRPr="000D7886">
              <w:lastRenderedPageBreak/>
              <w:t>Company and other</w:t>
            </w:r>
            <w:r>
              <w:t xml:space="preserve"> </w:t>
            </w:r>
            <w:r w:rsidRPr="000D7886">
              <w:t>Company’s advisors, employees or otherwise in connection with the Acquisition and all its terms, conditions and circumstances. Further, the sole fact of commencement and progress of negotiation between t</w:t>
            </w:r>
            <w:r>
              <w:t xml:space="preserve">he Company </w:t>
            </w:r>
            <w:r w:rsidRPr="000D7886">
              <w:t>and the Potential Investor shall be treated as Confidential Information.</w:t>
            </w:r>
          </w:p>
        </w:tc>
      </w:tr>
      <w:tr w:rsidR="006951EA" w:rsidRPr="0061796D" w14:paraId="4691D953" w14:textId="77777777" w:rsidTr="00C02A78">
        <w:tc>
          <w:tcPr>
            <w:tcW w:w="4395" w:type="dxa"/>
            <w:shd w:val="clear" w:color="auto" w:fill="auto"/>
          </w:tcPr>
          <w:p w14:paraId="02EF24CB" w14:textId="0EE006DE" w:rsidR="006951EA" w:rsidRPr="002E737D" w:rsidRDefault="00585E14" w:rsidP="00111697">
            <w:pPr>
              <w:pStyle w:val="CZ2"/>
              <w:spacing w:line="276" w:lineRule="auto"/>
            </w:pPr>
            <w:r w:rsidRPr="00585E14">
              <w:rPr>
                <w:rFonts w:eastAsia="Calibri"/>
                <w:lang w:val="en-GB"/>
              </w:rPr>
              <w:lastRenderedPageBreak/>
              <w:t xml:space="preserve">Jakékoli </w:t>
            </w:r>
            <w:r>
              <w:rPr>
                <w:rFonts w:eastAsia="Calibri"/>
                <w:lang w:val="en-GB"/>
              </w:rPr>
              <w:t>D</w:t>
            </w:r>
            <w:r w:rsidRPr="00585E14">
              <w:rPr>
                <w:rFonts w:eastAsia="Calibri"/>
                <w:lang w:val="en-GB"/>
              </w:rPr>
              <w:t xml:space="preserve">ůvěrné informace se považují za důvěrné bez ohledu na to, zda byly poskytnuty ústně, písemně, na elektronických nebo jiných médiích nebo zda byly poskytnuty přímo </w:t>
            </w:r>
            <w:r>
              <w:rPr>
                <w:rFonts w:eastAsia="Calibri"/>
                <w:lang w:val="en-GB"/>
              </w:rPr>
              <w:t>S</w:t>
            </w:r>
            <w:r w:rsidRPr="00585E14">
              <w:rPr>
                <w:rFonts w:eastAsia="Calibri"/>
                <w:lang w:val="en-GB"/>
              </w:rPr>
              <w:t xml:space="preserve">polečností, jejími akcionáři, jinými osobami nebo subjekty přímo nebo nepřímo spojenými se </w:t>
            </w:r>
            <w:r>
              <w:rPr>
                <w:rFonts w:eastAsia="Calibri"/>
                <w:lang w:val="en-GB"/>
              </w:rPr>
              <w:t>S</w:t>
            </w:r>
            <w:r w:rsidRPr="00585E14">
              <w:rPr>
                <w:rFonts w:eastAsia="Calibri"/>
                <w:lang w:val="en-GB"/>
              </w:rPr>
              <w:t xml:space="preserve">polečností, </w:t>
            </w:r>
            <w:r>
              <w:rPr>
                <w:rFonts w:eastAsia="Calibri"/>
                <w:lang w:val="en-GB"/>
              </w:rPr>
              <w:t>či jejími</w:t>
            </w:r>
            <w:r w:rsidRPr="00585E14">
              <w:rPr>
                <w:rFonts w:eastAsia="Calibri"/>
                <w:lang w:val="en-GB"/>
              </w:rPr>
              <w:t xml:space="preserve"> poradci</w:t>
            </w:r>
            <w:r w:rsidR="003B4616">
              <w:rPr>
                <w:rFonts w:eastAsia="Calibri"/>
                <w:lang w:val="en-GB"/>
              </w:rPr>
              <w:t xml:space="preserve"> nebo </w:t>
            </w:r>
            <w:r w:rsidRPr="00585E14">
              <w:rPr>
                <w:rFonts w:eastAsia="Calibri"/>
                <w:lang w:val="en-GB"/>
              </w:rPr>
              <w:t>zaměstnanci</w:t>
            </w:r>
            <w:r w:rsidR="003B4616">
              <w:rPr>
                <w:rFonts w:eastAsia="Calibri"/>
                <w:lang w:val="en-GB"/>
              </w:rPr>
              <w:t>.</w:t>
            </w:r>
          </w:p>
        </w:tc>
        <w:tc>
          <w:tcPr>
            <w:tcW w:w="283" w:type="dxa"/>
            <w:tcBorders>
              <w:right w:val="nil"/>
            </w:tcBorders>
          </w:tcPr>
          <w:p w14:paraId="2B633DB7" w14:textId="77777777" w:rsidR="006951EA" w:rsidRPr="005C17A9" w:rsidRDefault="006951EA" w:rsidP="006951EA"/>
        </w:tc>
        <w:tc>
          <w:tcPr>
            <w:tcW w:w="4394" w:type="dxa"/>
            <w:tcBorders>
              <w:left w:val="nil"/>
            </w:tcBorders>
            <w:shd w:val="clear" w:color="auto" w:fill="auto"/>
          </w:tcPr>
          <w:p w14:paraId="19435147" w14:textId="43742C1E" w:rsidR="006951EA" w:rsidRPr="005C17A9" w:rsidRDefault="006951EA" w:rsidP="00111697">
            <w:pPr>
              <w:pStyle w:val="X2"/>
              <w:spacing w:line="276" w:lineRule="auto"/>
            </w:pPr>
            <w:r w:rsidRPr="000D7886">
              <w:t>Any Confidential Information shall be deemed and treated as such irrespective of whether any such information is provided orally, in writing, on electronic or other media, or whether provided directly by</w:t>
            </w:r>
            <w:r>
              <w:t xml:space="preserve"> </w:t>
            </w:r>
            <w:r w:rsidRPr="000D7886">
              <w:t>the Company, its shareholders, other persons or entities directly or indirectly affiliated with the</w:t>
            </w:r>
            <w:r>
              <w:t xml:space="preserve"> </w:t>
            </w:r>
            <w:r w:rsidRPr="000D7886">
              <w:t>Company, other advisors</w:t>
            </w:r>
            <w:r w:rsidR="003B4616">
              <w:t xml:space="preserve"> or</w:t>
            </w:r>
            <w:r w:rsidRPr="000D7886">
              <w:t xml:space="preserve"> employees</w:t>
            </w:r>
            <w:r w:rsidR="003B4616">
              <w:t>.</w:t>
            </w:r>
          </w:p>
        </w:tc>
      </w:tr>
      <w:tr w:rsidR="006951EA" w:rsidRPr="0061796D" w14:paraId="4CF9B4B8" w14:textId="77777777" w:rsidTr="00C02A78">
        <w:tc>
          <w:tcPr>
            <w:tcW w:w="4395" w:type="dxa"/>
            <w:shd w:val="clear" w:color="auto" w:fill="auto"/>
          </w:tcPr>
          <w:p w14:paraId="644B1865" w14:textId="4F98BBD4" w:rsidR="006951EA" w:rsidRPr="002E737D" w:rsidRDefault="00D027AB" w:rsidP="00D027AB">
            <w:pPr>
              <w:pStyle w:val="CZ2"/>
              <w:spacing w:line="276" w:lineRule="auto"/>
            </w:pPr>
            <w:r w:rsidRPr="00D027AB">
              <w:t>Důvěrn</w:t>
            </w:r>
            <w:r w:rsidR="00111697">
              <w:t>ými</w:t>
            </w:r>
            <w:r w:rsidRPr="00D027AB">
              <w:t xml:space="preserve"> informac</w:t>
            </w:r>
            <w:r w:rsidR="00111697">
              <w:t>emi</w:t>
            </w:r>
            <w:r w:rsidRPr="00D027AB">
              <w:t xml:space="preserve"> </w:t>
            </w:r>
            <w:r w:rsidR="00F11217">
              <w:t>nejsou</w:t>
            </w:r>
            <w:r w:rsidRPr="00D027AB">
              <w:t xml:space="preserve"> žádné informace</w:t>
            </w:r>
            <w:r w:rsidR="00580409">
              <w:t xml:space="preserve"> </w:t>
            </w:r>
            <w:r w:rsidR="00580409" w:rsidRPr="00D027AB">
              <w:t>a</w:t>
            </w:r>
            <w:r w:rsidR="00580409">
              <w:t> </w:t>
            </w:r>
            <w:r w:rsidRPr="00D027AB">
              <w:t>údaje, které jsou nebo se stanou obecně dostupné veřejnosti jinak než</w:t>
            </w:r>
            <w:r w:rsidR="00580409">
              <w:t xml:space="preserve"> </w:t>
            </w:r>
            <w:r w:rsidR="00580409" w:rsidRPr="00D027AB">
              <w:t>v</w:t>
            </w:r>
            <w:r w:rsidR="00580409">
              <w:t> </w:t>
            </w:r>
            <w:r w:rsidRPr="00D027AB">
              <w:t xml:space="preserve">důsledku jejich zveřejnění </w:t>
            </w:r>
            <w:r w:rsidR="00987146">
              <w:t>Zájemcem</w:t>
            </w:r>
            <w:r w:rsidR="00580409">
              <w:t xml:space="preserve"> </w:t>
            </w:r>
            <w:r w:rsidR="00580409" w:rsidRPr="00D027AB">
              <w:t>v</w:t>
            </w:r>
            <w:r w:rsidR="00580409">
              <w:t> </w:t>
            </w:r>
            <w:r w:rsidRPr="00D027AB">
              <w:t>rozporu</w:t>
            </w:r>
            <w:r w:rsidR="00580409">
              <w:t xml:space="preserve"> </w:t>
            </w:r>
            <w:r w:rsidR="00580409" w:rsidRPr="00D027AB">
              <w:t>s</w:t>
            </w:r>
            <w:r w:rsidR="00580409">
              <w:t> </w:t>
            </w:r>
            <w:r w:rsidRPr="00D027AB">
              <w:t xml:space="preserve">jeho příslušnými povinnostmi podle této </w:t>
            </w:r>
            <w:r>
              <w:t xml:space="preserve">Dohody, </w:t>
            </w:r>
            <w:r w:rsidRPr="00D027AB">
              <w:t>platných právních předpisů nebo kterýmkoli</w:t>
            </w:r>
            <w:r w:rsidR="00580409">
              <w:t xml:space="preserve"> </w:t>
            </w:r>
            <w:r w:rsidR="00580409" w:rsidRPr="00D027AB">
              <w:t>z</w:t>
            </w:r>
            <w:r w:rsidR="00580409">
              <w:t> </w:t>
            </w:r>
            <w:r w:rsidRPr="00D027AB">
              <w:t xml:space="preserve">jeho zaměstnanců, </w:t>
            </w:r>
            <w:r>
              <w:t>členů statutárního orgánu</w:t>
            </w:r>
            <w:r w:rsidRPr="00D027AB">
              <w:t xml:space="preserve">, vedoucích pracovníků, </w:t>
            </w:r>
            <w:r>
              <w:t>společníků</w:t>
            </w:r>
            <w:r w:rsidRPr="00D027AB">
              <w:t>, zástupců nebo poradců</w:t>
            </w:r>
            <w:r w:rsidR="002A6492">
              <w:t>,</w:t>
            </w:r>
            <w:r w:rsidRPr="00D027AB">
              <w:t xml:space="preserve"> nebo jakoukoli jinou osobou</w:t>
            </w:r>
            <w:r>
              <w:t xml:space="preserve"> působící</w:t>
            </w:r>
            <w:r w:rsidR="00580409">
              <w:t xml:space="preserve"> </w:t>
            </w:r>
            <w:r w:rsidR="00580409" w:rsidRPr="00D027AB">
              <w:t>v</w:t>
            </w:r>
            <w:r w:rsidR="00580409">
              <w:t> </w:t>
            </w:r>
            <w:r w:rsidRPr="00D027AB">
              <w:t>podobném postavení</w:t>
            </w:r>
            <w:r w:rsidR="00580409">
              <w:t xml:space="preserve"> </w:t>
            </w:r>
            <w:r w:rsidR="00580409" w:rsidRPr="00D027AB">
              <w:t>u</w:t>
            </w:r>
            <w:r w:rsidR="00580409">
              <w:t> </w:t>
            </w:r>
            <w:r w:rsidR="00987146">
              <w:t>Zájemce</w:t>
            </w:r>
            <w:r w:rsidRPr="00D027AB">
              <w:t>.</w:t>
            </w:r>
          </w:p>
        </w:tc>
        <w:tc>
          <w:tcPr>
            <w:tcW w:w="283" w:type="dxa"/>
            <w:tcBorders>
              <w:right w:val="nil"/>
            </w:tcBorders>
          </w:tcPr>
          <w:p w14:paraId="2FF3D354" w14:textId="77777777" w:rsidR="006951EA" w:rsidRPr="005C17A9" w:rsidRDefault="006951EA" w:rsidP="006951EA"/>
        </w:tc>
        <w:tc>
          <w:tcPr>
            <w:tcW w:w="4394" w:type="dxa"/>
            <w:tcBorders>
              <w:left w:val="nil"/>
            </w:tcBorders>
            <w:shd w:val="clear" w:color="auto" w:fill="auto"/>
          </w:tcPr>
          <w:p w14:paraId="37FF01ED" w14:textId="52B351DB" w:rsidR="006951EA" w:rsidRPr="005C17A9" w:rsidRDefault="006951EA" w:rsidP="00111697">
            <w:pPr>
              <w:pStyle w:val="X2"/>
              <w:spacing w:line="276" w:lineRule="auto"/>
            </w:pPr>
            <w:r w:rsidRPr="000D7886">
              <w:t>Confidential Information shall exclude any information and data which is or will become generally available to the public other than as</w:t>
            </w:r>
            <w:r w:rsidR="00580409">
              <w:t xml:space="preserve"> </w:t>
            </w:r>
            <w:r w:rsidR="00580409" w:rsidRPr="000D7886">
              <w:t>a</w:t>
            </w:r>
            <w:r w:rsidR="00580409">
              <w:t> </w:t>
            </w:r>
            <w:r w:rsidRPr="000D7886">
              <w:t>result of its disclosure by the Potential Investor in violation of any of its respective obligations under this Agreement or applicable law or by any of its employees, directors, officers, partners, representatives, or advisors or any other person</w:t>
            </w:r>
            <w:r>
              <w:t xml:space="preserve"> </w:t>
            </w:r>
            <w:r w:rsidRPr="000D7886">
              <w:t>in</w:t>
            </w:r>
            <w:r w:rsidR="00580409">
              <w:t xml:space="preserve"> </w:t>
            </w:r>
            <w:r w:rsidR="00580409" w:rsidRPr="000D7886">
              <w:t>a</w:t>
            </w:r>
            <w:r w:rsidR="00580409">
              <w:t> </w:t>
            </w:r>
            <w:r w:rsidRPr="000D7886">
              <w:t>similar position at the Potential Investor.</w:t>
            </w:r>
          </w:p>
        </w:tc>
      </w:tr>
      <w:tr w:rsidR="006951EA" w:rsidRPr="0061796D" w14:paraId="2246A903" w14:textId="77777777" w:rsidTr="00C02A78">
        <w:tc>
          <w:tcPr>
            <w:tcW w:w="4395" w:type="dxa"/>
            <w:shd w:val="clear" w:color="auto" w:fill="auto"/>
          </w:tcPr>
          <w:p w14:paraId="2296C598" w14:textId="18DB80AB" w:rsidR="006951EA" w:rsidRPr="005C17A9" w:rsidRDefault="00915494" w:rsidP="00915494">
            <w:pPr>
              <w:pStyle w:val="CZ2"/>
              <w:spacing w:line="276" w:lineRule="auto"/>
            </w:pPr>
            <w:r>
              <w:t>Důvěrnými informacemi</w:t>
            </w:r>
            <w:r w:rsidRPr="00915494">
              <w:t xml:space="preserve"> </w:t>
            </w:r>
            <w:r w:rsidR="00567E7E">
              <w:t>nejsou</w:t>
            </w:r>
            <w:r w:rsidRPr="00915494">
              <w:t xml:space="preserve"> </w:t>
            </w:r>
            <w:r>
              <w:t xml:space="preserve">ani </w:t>
            </w:r>
            <w:r w:rsidRPr="00915494">
              <w:t>žádné informace</w:t>
            </w:r>
            <w:r w:rsidR="00580409">
              <w:t xml:space="preserve"> </w:t>
            </w:r>
            <w:r w:rsidR="00580409" w:rsidRPr="00915494">
              <w:t>a</w:t>
            </w:r>
            <w:r w:rsidR="00580409">
              <w:t> </w:t>
            </w:r>
            <w:r w:rsidRPr="00915494">
              <w:t xml:space="preserve">údaje, které </w:t>
            </w:r>
            <w:r w:rsidR="00987146">
              <w:t xml:space="preserve">Zájemce </w:t>
            </w:r>
            <w:r w:rsidRPr="00915494">
              <w:t>obdržel od třetí strany</w:t>
            </w:r>
            <w:r w:rsidR="00580409">
              <w:t xml:space="preserve"> </w:t>
            </w:r>
            <w:r w:rsidR="00580409" w:rsidRPr="00915494">
              <w:t>a</w:t>
            </w:r>
            <w:r w:rsidR="00580409">
              <w:t> </w:t>
            </w:r>
            <w:r w:rsidR="00580409" w:rsidRPr="00915494">
              <w:t>o</w:t>
            </w:r>
            <w:r w:rsidR="00580409">
              <w:t> </w:t>
            </w:r>
            <w:r w:rsidRPr="00915494">
              <w:t xml:space="preserve">nichž si </w:t>
            </w:r>
            <w:r w:rsidR="00987146">
              <w:t xml:space="preserve">Zájemce </w:t>
            </w:r>
            <w:r w:rsidRPr="00915494">
              <w:t>při vynaložení přiměřené péče</w:t>
            </w:r>
            <w:r w:rsidR="00580409">
              <w:t xml:space="preserve"> </w:t>
            </w:r>
            <w:r w:rsidR="00580409" w:rsidRPr="00915494">
              <w:t>a</w:t>
            </w:r>
            <w:r w:rsidR="00580409">
              <w:t> </w:t>
            </w:r>
            <w:r w:rsidRPr="00915494">
              <w:t>náležité opatrnosti není vědom, že je tato třetí strana získala</w:t>
            </w:r>
            <w:r w:rsidR="00580409">
              <w:t xml:space="preserve"> </w:t>
            </w:r>
            <w:r w:rsidR="00580409" w:rsidRPr="00915494">
              <w:t>v</w:t>
            </w:r>
            <w:r w:rsidR="00580409">
              <w:t> </w:t>
            </w:r>
            <w:r w:rsidRPr="00915494">
              <w:t>rozporu s</w:t>
            </w:r>
            <w:r w:rsidR="008635BB">
              <w:t xml:space="preserve">e </w:t>
            </w:r>
            <w:r w:rsidRPr="00915494">
              <w:t>svou povinností mlčenlivosti.</w:t>
            </w:r>
          </w:p>
        </w:tc>
        <w:tc>
          <w:tcPr>
            <w:tcW w:w="283" w:type="dxa"/>
            <w:tcBorders>
              <w:right w:val="nil"/>
            </w:tcBorders>
          </w:tcPr>
          <w:p w14:paraId="0D272E64" w14:textId="77777777" w:rsidR="006951EA" w:rsidRPr="005C17A9" w:rsidRDefault="006951EA" w:rsidP="006951EA"/>
        </w:tc>
        <w:tc>
          <w:tcPr>
            <w:tcW w:w="4394" w:type="dxa"/>
            <w:tcBorders>
              <w:left w:val="nil"/>
            </w:tcBorders>
            <w:shd w:val="clear" w:color="auto" w:fill="auto"/>
          </w:tcPr>
          <w:p w14:paraId="3B37082D" w14:textId="77777777" w:rsidR="006951EA" w:rsidRDefault="006951EA" w:rsidP="006951EA">
            <w:pPr>
              <w:pStyle w:val="X2"/>
            </w:pPr>
            <w:r w:rsidRPr="000D7886">
              <w:t xml:space="preserve">Confidential Information shall </w:t>
            </w:r>
            <w:r w:rsidR="00300A3D">
              <w:t xml:space="preserve">further </w:t>
            </w:r>
            <w:r w:rsidRPr="000D7886">
              <w:t>exclude any information and data received by the Potential Investor from any third party, in respect of which the Potential Investor is not aware, upon conducting reasonable diligence and with the exercise of due care, of having been obtained by such third party in violation of any of its respective duty of confidentiality.</w:t>
            </w:r>
          </w:p>
          <w:p w14:paraId="332B6176" w14:textId="4A1A4C8E" w:rsidR="00D607E3" w:rsidRPr="005C17A9" w:rsidRDefault="00D607E3" w:rsidP="00D607E3">
            <w:pPr>
              <w:pStyle w:val="X2"/>
              <w:numPr>
                <w:ilvl w:val="0"/>
                <w:numId w:val="0"/>
              </w:numPr>
              <w:ind w:left="567"/>
            </w:pPr>
          </w:p>
        </w:tc>
      </w:tr>
      <w:tr w:rsidR="006951EA" w:rsidRPr="0061796D" w14:paraId="34255425" w14:textId="77777777" w:rsidTr="00C02A78">
        <w:tc>
          <w:tcPr>
            <w:tcW w:w="4395" w:type="dxa"/>
            <w:shd w:val="clear" w:color="auto" w:fill="auto"/>
          </w:tcPr>
          <w:p w14:paraId="0BCE93F6" w14:textId="2F2CE832" w:rsidR="006951EA" w:rsidRPr="006951EA" w:rsidRDefault="00606CC5" w:rsidP="00D607E3">
            <w:pPr>
              <w:pStyle w:val="CZ1"/>
            </w:pPr>
            <w:r w:rsidRPr="00606CC5">
              <w:lastRenderedPageBreak/>
              <w:t>Povinnost mlčenlivosti</w:t>
            </w:r>
            <w:r w:rsidR="00580409">
              <w:t xml:space="preserve"> </w:t>
            </w:r>
            <w:r w:rsidR="00580409" w:rsidRPr="00606CC5">
              <w:t>a</w:t>
            </w:r>
            <w:r w:rsidR="00580409">
              <w:t> </w:t>
            </w:r>
            <w:r w:rsidRPr="00606CC5">
              <w:t>ochrana důvěrných informací</w:t>
            </w:r>
          </w:p>
        </w:tc>
        <w:tc>
          <w:tcPr>
            <w:tcW w:w="283" w:type="dxa"/>
            <w:tcBorders>
              <w:right w:val="nil"/>
            </w:tcBorders>
          </w:tcPr>
          <w:p w14:paraId="0F0EFCDE" w14:textId="77777777" w:rsidR="006951EA" w:rsidRPr="00A810B4" w:rsidRDefault="006951EA" w:rsidP="006951EA"/>
        </w:tc>
        <w:tc>
          <w:tcPr>
            <w:tcW w:w="4394" w:type="dxa"/>
            <w:tcBorders>
              <w:left w:val="nil"/>
            </w:tcBorders>
            <w:shd w:val="clear" w:color="auto" w:fill="auto"/>
          </w:tcPr>
          <w:p w14:paraId="4D07827A" w14:textId="46FDA7CF" w:rsidR="006951EA" w:rsidRPr="005C17A9" w:rsidRDefault="006951EA" w:rsidP="00D607E3">
            <w:pPr>
              <w:pStyle w:val="X1"/>
            </w:pPr>
            <w:r w:rsidRPr="00951946">
              <w:t>Confidentiality Obligations and Protection of Confidential Information</w:t>
            </w:r>
          </w:p>
        </w:tc>
      </w:tr>
      <w:tr w:rsidR="006951EA" w:rsidRPr="0061796D" w14:paraId="674F06B0" w14:textId="77777777" w:rsidTr="00C02A78">
        <w:tc>
          <w:tcPr>
            <w:tcW w:w="4395" w:type="dxa"/>
            <w:shd w:val="clear" w:color="auto" w:fill="auto"/>
          </w:tcPr>
          <w:p w14:paraId="1719D068" w14:textId="028674AA" w:rsidR="006951EA" w:rsidRPr="005C17A9" w:rsidRDefault="00606CC5" w:rsidP="00DF3042">
            <w:pPr>
              <w:pStyle w:val="CZ2"/>
              <w:spacing w:line="276" w:lineRule="auto"/>
            </w:pPr>
            <w:r w:rsidRPr="00606CC5">
              <w:t>Veškeré Důvěrné informace považuje Společnost za své obchodní tajemství ve smyslu § 504</w:t>
            </w:r>
            <w:r w:rsidR="00580409">
              <w:t xml:space="preserve"> </w:t>
            </w:r>
            <w:r w:rsidR="00580409" w:rsidRPr="00606CC5">
              <w:t>a</w:t>
            </w:r>
            <w:r w:rsidR="00580409">
              <w:t> </w:t>
            </w:r>
            <w:r w:rsidRPr="00606CC5">
              <w:t>násl. zákona č. 89/2012 Sb., občanský zákoník,</w:t>
            </w:r>
            <w:r w:rsidR="00580409">
              <w:t xml:space="preserve"> </w:t>
            </w:r>
            <w:r w:rsidR="00580409" w:rsidRPr="00606CC5">
              <w:t>v</w:t>
            </w:r>
            <w:r w:rsidR="00580409">
              <w:t> </w:t>
            </w:r>
            <w:r w:rsidRPr="00606CC5">
              <w:t>platném znění</w:t>
            </w:r>
            <w:r w:rsidR="00371BA3">
              <w:t xml:space="preserve"> („</w:t>
            </w:r>
            <w:r w:rsidR="00371BA3" w:rsidRPr="00371BA3">
              <w:rPr>
                <w:b/>
                <w:bCs/>
              </w:rPr>
              <w:t>Občanský zákoník</w:t>
            </w:r>
            <w:r w:rsidR="00371BA3">
              <w:t>“)</w:t>
            </w:r>
            <w:r w:rsidRPr="00606CC5">
              <w:t>,</w:t>
            </w:r>
            <w:r w:rsidR="00580409">
              <w:t xml:space="preserve"> </w:t>
            </w:r>
            <w:r w:rsidR="00580409" w:rsidRPr="00606CC5">
              <w:t>a</w:t>
            </w:r>
            <w:r w:rsidR="00580409">
              <w:t> </w:t>
            </w:r>
            <w:r w:rsidR="00E50F81">
              <w:t>Zájemce</w:t>
            </w:r>
            <w:r w:rsidRPr="00606CC5">
              <w:t xml:space="preserve"> se zavazuje</w:t>
            </w:r>
            <w:r w:rsidR="00580409">
              <w:t xml:space="preserve"> </w:t>
            </w:r>
            <w:r w:rsidR="00580409" w:rsidRPr="00606CC5">
              <w:t>s</w:t>
            </w:r>
            <w:r w:rsidR="00580409">
              <w:t> </w:t>
            </w:r>
            <w:r>
              <w:t>nimi</w:t>
            </w:r>
            <w:r w:rsidRPr="00606CC5">
              <w:t xml:space="preserve"> nakládat jako</w:t>
            </w:r>
            <w:r w:rsidR="00580409">
              <w:t xml:space="preserve"> </w:t>
            </w:r>
            <w:r w:rsidR="00580409" w:rsidRPr="00606CC5">
              <w:t>s</w:t>
            </w:r>
            <w:r w:rsidR="00580409">
              <w:t> </w:t>
            </w:r>
            <w:r w:rsidRPr="00606CC5">
              <w:t>důvěrnými.</w:t>
            </w:r>
          </w:p>
        </w:tc>
        <w:tc>
          <w:tcPr>
            <w:tcW w:w="283" w:type="dxa"/>
            <w:tcBorders>
              <w:right w:val="nil"/>
            </w:tcBorders>
          </w:tcPr>
          <w:p w14:paraId="545CEBC3" w14:textId="77777777" w:rsidR="006951EA" w:rsidRPr="005C17A9" w:rsidRDefault="006951EA" w:rsidP="00DF3042">
            <w:pPr>
              <w:spacing w:line="276" w:lineRule="auto"/>
            </w:pPr>
          </w:p>
        </w:tc>
        <w:tc>
          <w:tcPr>
            <w:tcW w:w="4394" w:type="dxa"/>
            <w:tcBorders>
              <w:left w:val="nil"/>
            </w:tcBorders>
            <w:shd w:val="clear" w:color="auto" w:fill="auto"/>
          </w:tcPr>
          <w:p w14:paraId="0BCD8AB5" w14:textId="0C2E4D9F" w:rsidR="006951EA" w:rsidRPr="005C17A9" w:rsidRDefault="006951EA" w:rsidP="00DF3042">
            <w:pPr>
              <w:pStyle w:val="X2"/>
              <w:spacing w:line="276" w:lineRule="auto"/>
            </w:pPr>
            <w:r w:rsidRPr="00956AAB">
              <w:t>All Confidential Information are deemed by the Company as its business secret within the meaning of Section 504 et seq. of the Act No.</w:t>
            </w:r>
            <w:r w:rsidR="00877E91">
              <w:t> </w:t>
            </w:r>
            <w:r w:rsidRPr="00956AAB">
              <w:t>89/2012 Coll., the Civil Code, as amended</w:t>
            </w:r>
            <w:r w:rsidR="00371BA3">
              <w:t xml:space="preserve"> (“</w:t>
            </w:r>
            <w:r w:rsidR="00371BA3" w:rsidRPr="00371BA3">
              <w:rPr>
                <w:b/>
                <w:bCs/>
              </w:rPr>
              <w:t>Civil Code</w:t>
            </w:r>
            <w:r w:rsidR="00371BA3">
              <w:t>”),</w:t>
            </w:r>
            <w:r w:rsidRPr="00956AAB">
              <w:t xml:space="preserve"> and the Potential Investor undertakes to treat the Confidential Information as confidential.</w:t>
            </w:r>
          </w:p>
        </w:tc>
      </w:tr>
      <w:tr w:rsidR="006951EA" w:rsidRPr="0061796D" w14:paraId="11B945D8" w14:textId="77777777" w:rsidTr="00C02A78">
        <w:tc>
          <w:tcPr>
            <w:tcW w:w="4395" w:type="dxa"/>
            <w:shd w:val="clear" w:color="auto" w:fill="auto"/>
          </w:tcPr>
          <w:p w14:paraId="5DC06BF9" w14:textId="471720AC" w:rsidR="006951EA" w:rsidRPr="005C17A9" w:rsidRDefault="00E50F81" w:rsidP="00D614BD">
            <w:pPr>
              <w:pStyle w:val="CZ2"/>
              <w:spacing w:line="276" w:lineRule="auto"/>
            </w:pPr>
            <w:r>
              <w:t xml:space="preserve">Zájemce </w:t>
            </w:r>
            <w:r w:rsidR="00DF3042" w:rsidRPr="00DF3042">
              <w:t xml:space="preserve">se zavazuje </w:t>
            </w:r>
            <w:r w:rsidR="00DF3042">
              <w:t>ve vztahu</w:t>
            </w:r>
            <w:r w:rsidR="00580409">
              <w:t xml:space="preserve"> k </w:t>
            </w:r>
            <w:r w:rsidR="00DF3042" w:rsidRPr="00DF3042">
              <w:t>Důvěrný</w:t>
            </w:r>
            <w:r w:rsidR="00DF3042">
              <w:t>m</w:t>
            </w:r>
            <w:r w:rsidR="00DF3042" w:rsidRPr="00DF3042">
              <w:t xml:space="preserve"> informací</w:t>
            </w:r>
            <w:r w:rsidR="00DF3042">
              <w:t>m</w:t>
            </w:r>
            <w:r w:rsidR="00DF3042" w:rsidRPr="00DF3042">
              <w:t xml:space="preserve"> zachovávat mlčenlivost</w:t>
            </w:r>
            <w:r w:rsidR="00580409">
              <w:t xml:space="preserve"> </w:t>
            </w:r>
            <w:r w:rsidR="00580409" w:rsidRPr="00DF3042">
              <w:t>a</w:t>
            </w:r>
            <w:r w:rsidR="00580409">
              <w:t> </w:t>
            </w:r>
            <w:r w:rsidR="00DF3042" w:rsidRPr="00DF3042">
              <w:t xml:space="preserve">důvěrnost, zajistit </w:t>
            </w:r>
            <w:r w:rsidR="00DF3042">
              <w:t xml:space="preserve">jejich </w:t>
            </w:r>
            <w:r w:rsidR="00DF3042" w:rsidRPr="00DF3042">
              <w:t>bezpečnost</w:t>
            </w:r>
            <w:r w:rsidR="00580409">
              <w:t xml:space="preserve"> </w:t>
            </w:r>
            <w:r w:rsidR="00580409" w:rsidRPr="00DF3042">
              <w:t>a</w:t>
            </w:r>
            <w:r w:rsidR="00580409">
              <w:t> </w:t>
            </w:r>
            <w:r w:rsidR="00DF3042" w:rsidRPr="00DF3042">
              <w:t>chránit Důvěrné informace před neoprávněným přístupem, poskytnutím, přenosem, zpracováním, zveřejněním</w:t>
            </w:r>
            <w:r w:rsidR="00580409">
              <w:t xml:space="preserve"> </w:t>
            </w:r>
            <w:r w:rsidR="00580409" w:rsidRPr="00DF3042">
              <w:t>a</w:t>
            </w:r>
            <w:r w:rsidR="00580409">
              <w:t> </w:t>
            </w:r>
            <w:r w:rsidR="00DF3042" w:rsidRPr="00DF3042">
              <w:t xml:space="preserve">použitím. </w:t>
            </w:r>
            <w:r>
              <w:t xml:space="preserve">Zájemce </w:t>
            </w:r>
            <w:r w:rsidR="00DF3042" w:rsidRPr="00DF3042">
              <w:t xml:space="preserve">se zavazuje, že Důvěrné informace nepoužije přímo ani prostřednictvím třetích osob při obchodním jednání. </w:t>
            </w:r>
            <w:r>
              <w:t>Zájemce</w:t>
            </w:r>
            <w:r w:rsidR="00DF3042" w:rsidRPr="00DF3042">
              <w:t xml:space="preserve"> se výslovně zavazuje zdržet se jakéhokoli přímého či nepřímého kontaktu se zaměstnanci Společnosti</w:t>
            </w:r>
            <w:r w:rsidR="00580409">
              <w:t xml:space="preserve"> </w:t>
            </w:r>
            <w:r w:rsidR="00580409" w:rsidRPr="00DF3042">
              <w:t>a</w:t>
            </w:r>
            <w:r w:rsidR="00580409">
              <w:t> </w:t>
            </w:r>
            <w:r w:rsidR="00DF3042" w:rsidRPr="00DF3042">
              <w:t>neumožnit zaměstnancům Společnosti přístup</w:t>
            </w:r>
            <w:r w:rsidR="00580409">
              <w:t xml:space="preserve"> </w:t>
            </w:r>
            <w:r w:rsidR="00580409" w:rsidRPr="00DF3042">
              <w:t>k</w:t>
            </w:r>
            <w:r w:rsidR="00580409">
              <w:t> </w:t>
            </w:r>
            <w:r w:rsidR="00DF3042" w:rsidRPr="00DF3042">
              <w:t>Důvěrným informacím bez předchozího písemného souhlasu Společnosti.</w:t>
            </w:r>
          </w:p>
        </w:tc>
        <w:tc>
          <w:tcPr>
            <w:tcW w:w="283" w:type="dxa"/>
            <w:tcBorders>
              <w:right w:val="nil"/>
            </w:tcBorders>
          </w:tcPr>
          <w:p w14:paraId="39FB07B9" w14:textId="77777777" w:rsidR="006951EA" w:rsidRPr="00DF3042" w:rsidRDefault="006951EA" w:rsidP="00DF3042">
            <w:pPr>
              <w:spacing w:line="276" w:lineRule="auto"/>
              <w:rPr>
                <w:lang w:val="cs-CZ"/>
              </w:rPr>
            </w:pPr>
          </w:p>
        </w:tc>
        <w:tc>
          <w:tcPr>
            <w:tcW w:w="4394" w:type="dxa"/>
            <w:tcBorders>
              <w:left w:val="nil"/>
            </w:tcBorders>
            <w:shd w:val="clear" w:color="auto" w:fill="auto"/>
          </w:tcPr>
          <w:p w14:paraId="6E641CFF" w14:textId="12863035" w:rsidR="006951EA" w:rsidRPr="006951EA" w:rsidRDefault="006951EA" w:rsidP="00DF3042">
            <w:pPr>
              <w:pStyle w:val="X2"/>
              <w:spacing w:line="276" w:lineRule="auto"/>
              <w:rPr>
                <w:b/>
                <w:bCs/>
              </w:rPr>
            </w:pPr>
            <w:r w:rsidRPr="00951946">
              <w:t>The Potential Investor agrees to keep the Confidential Information secret and confidential, to ensure the safety of any Confidential Information, and to protect any Confidential Information from unauthorized access, provision, transfer, processing, disclosure and use. The Potential Investor shall not, whether directly or through third parties, use the Confidential Information in business conduct. The Potential Investor expressly agrees to refrain from any direct or indirect contact with the Company’s employees and from enabling the employees of the Company to access the Confidential Information without prior written consent of</w:t>
            </w:r>
            <w:r>
              <w:t xml:space="preserve"> </w:t>
            </w:r>
            <w:r w:rsidRPr="00951946">
              <w:t>the Company.</w:t>
            </w:r>
          </w:p>
        </w:tc>
      </w:tr>
      <w:tr w:rsidR="006951EA" w:rsidRPr="0061796D" w14:paraId="18ACED6D" w14:textId="77777777" w:rsidTr="00C02A78">
        <w:tc>
          <w:tcPr>
            <w:tcW w:w="4395" w:type="dxa"/>
            <w:shd w:val="clear" w:color="auto" w:fill="auto"/>
          </w:tcPr>
          <w:p w14:paraId="0BB935D4" w14:textId="15F257C2" w:rsidR="006951EA" w:rsidRPr="005C17A9" w:rsidRDefault="00E50F81" w:rsidP="00D614BD">
            <w:pPr>
              <w:pStyle w:val="CZ2"/>
              <w:spacing w:line="276" w:lineRule="auto"/>
            </w:pPr>
            <w:r>
              <w:t xml:space="preserve">Zájemce </w:t>
            </w:r>
            <w:r w:rsidR="00D614BD" w:rsidRPr="00D614BD">
              <w:t xml:space="preserve">je oprávněn použít veškeré Důvěrné informace výhradně pro účely přípravy nabídky na </w:t>
            </w:r>
            <w:r w:rsidR="00D614BD">
              <w:t>A</w:t>
            </w:r>
            <w:r w:rsidR="00D614BD" w:rsidRPr="00D614BD">
              <w:t>kvizici</w:t>
            </w:r>
            <w:r w:rsidR="00580409">
              <w:t xml:space="preserve"> </w:t>
            </w:r>
            <w:r w:rsidR="00580409" w:rsidRPr="00D614BD">
              <w:t>a</w:t>
            </w:r>
            <w:r w:rsidR="00580409">
              <w:t> </w:t>
            </w:r>
            <w:r w:rsidR="00D614BD" w:rsidRPr="00D614BD">
              <w:t>nesmí Důvěrné informace použít</w:t>
            </w:r>
            <w:r w:rsidR="00580409">
              <w:t xml:space="preserve"> </w:t>
            </w:r>
            <w:r w:rsidR="00580409" w:rsidRPr="00D614BD">
              <w:t>k</w:t>
            </w:r>
            <w:r w:rsidR="00580409">
              <w:t> </w:t>
            </w:r>
            <w:r w:rsidR="00D614BD" w:rsidRPr="00D614BD">
              <w:t xml:space="preserve">žádnému jinému účelu, ani je předat, poskytnout nebo zpřístupnit žádné jiné osobě nebo orgánu. </w:t>
            </w:r>
            <w:r>
              <w:t xml:space="preserve">Zájemce </w:t>
            </w:r>
            <w:r w:rsidR="00D614BD" w:rsidRPr="00D614BD">
              <w:t>se dále zavazuje zajistit, aby žádné Důvěrné informace nebyly použity</w:t>
            </w:r>
            <w:r w:rsidR="00580409">
              <w:t xml:space="preserve"> </w:t>
            </w:r>
            <w:r w:rsidR="00580409" w:rsidRPr="00D614BD">
              <w:t>k</w:t>
            </w:r>
            <w:r w:rsidR="00580409">
              <w:t> </w:t>
            </w:r>
            <w:r w:rsidR="00D614BD" w:rsidRPr="00D614BD">
              <w:t>jiným účelům.</w:t>
            </w:r>
          </w:p>
        </w:tc>
        <w:tc>
          <w:tcPr>
            <w:tcW w:w="283" w:type="dxa"/>
            <w:tcBorders>
              <w:right w:val="nil"/>
            </w:tcBorders>
          </w:tcPr>
          <w:p w14:paraId="5B52CEFF" w14:textId="77777777" w:rsidR="006951EA" w:rsidRPr="00D614BD" w:rsidRDefault="006951EA" w:rsidP="00DF3042">
            <w:pPr>
              <w:spacing w:line="276" w:lineRule="auto"/>
              <w:rPr>
                <w:lang w:val="cs-CZ"/>
              </w:rPr>
            </w:pPr>
          </w:p>
        </w:tc>
        <w:tc>
          <w:tcPr>
            <w:tcW w:w="4394" w:type="dxa"/>
            <w:tcBorders>
              <w:left w:val="nil"/>
            </w:tcBorders>
            <w:shd w:val="clear" w:color="auto" w:fill="auto"/>
          </w:tcPr>
          <w:p w14:paraId="12DBE355" w14:textId="5D21E4AD" w:rsidR="006951EA" w:rsidRPr="005C17A9" w:rsidRDefault="006951EA" w:rsidP="00DF3042">
            <w:pPr>
              <w:pStyle w:val="X2"/>
              <w:spacing w:line="276" w:lineRule="auto"/>
            </w:pPr>
            <w:r w:rsidRPr="00E42536">
              <w:t>The Potential Investor shall have the right to use any Confidential Information solely for the purpose of preparation of the bid for the Acquisition and may not use the Confidential Information for any other purpose, or transfer, provide or disclose to any other person or authority. The Potential Investor further agrees to procure that any of the Confidential Information is not used for any other purposes.</w:t>
            </w:r>
          </w:p>
        </w:tc>
      </w:tr>
      <w:tr w:rsidR="006951EA" w:rsidRPr="0061796D" w14:paraId="1056F1E2" w14:textId="77777777" w:rsidTr="00C02A78">
        <w:tc>
          <w:tcPr>
            <w:tcW w:w="4395" w:type="dxa"/>
            <w:shd w:val="clear" w:color="auto" w:fill="auto"/>
          </w:tcPr>
          <w:p w14:paraId="3D1D3541" w14:textId="607A1832" w:rsidR="006951EA" w:rsidRPr="005C17A9" w:rsidRDefault="00E50F81" w:rsidP="00DF3042">
            <w:pPr>
              <w:pStyle w:val="CZ2"/>
              <w:spacing w:line="276" w:lineRule="auto"/>
            </w:pPr>
            <w:r>
              <w:t xml:space="preserve">Zájemce </w:t>
            </w:r>
            <w:r w:rsidR="00D614BD" w:rsidRPr="00D614BD">
              <w:t xml:space="preserve">se zavazuje zajistit, aby všichni jeho zaměstnanci, </w:t>
            </w:r>
            <w:r w:rsidR="00D614BD" w:rsidRPr="00D614BD">
              <w:lastRenderedPageBreak/>
              <w:t>spolupracující osoby</w:t>
            </w:r>
            <w:r w:rsidR="00580409">
              <w:t xml:space="preserve"> </w:t>
            </w:r>
            <w:r w:rsidR="00580409" w:rsidRPr="00D614BD">
              <w:t>a</w:t>
            </w:r>
            <w:r w:rsidR="00580409">
              <w:t> </w:t>
            </w:r>
            <w:r w:rsidR="00D614BD" w:rsidRPr="00D614BD">
              <w:t xml:space="preserve">poradci nebo jakékoliv třetí osoby, kterým </w:t>
            </w:r>
            <w:r>
              <w:t xml:space="preserve">Zájemce </w:t>
            </w:r>
            <w:r w:rsidR="00D614BD" w:rsidRPr="00D614BD">
              <w:t>zpřístupnil Důvěrné informace, byli vázáni povinností mlčenlivosti</w:t>
            </w:r>
            <w:r w:rsidR="00D614BD">
              <w:t>,</w:t>
            </w:r>
            <w:r w:rsidR="00D614BD" w:rsidRPr="00D614BD">
              <w:t xml:space="preserve"> ochrany obchodního tajemství</w:t>
            </w:r>
            <w:r w:rsidR="00580409">
              <w:t xml:space="preserve"> </w:t>
            </w:r>
            <w:r w:rsidR="00580409" w:rsidRPr="00D614BD">
              <w:t>a</w:t>
            </w:r>
            <w:r w:rsidR="00580409">
              <w:t> </w:t>
            </w:r>
            <w:r w:rsidR="00D614BD" w:rsidRPr="00D614BD">
              <w:t>podmínkami nakládání</w:t>
            </w:r>
            <w:r w:rsidR="00580409">
              <w:t xml:space="preserve"> </w:t>
            </w:r>
            <w:r w:rsidR="00580409" w:rsidRPr="00D614BD">
              <w:t>s</w:t>
            </w:r>
            <w:r w:rsidR="00580409">
              <w:t> </w:t>
            </w:r>
            <w:r w:rsidR="00D614BD" w:rsidRPr="00D614BD">
              <w:t>Důvěrnými informacemi minimálně ve stejném rozsahu, jaký je dohodnut</w:t>
            </w:r>
            <w:r w:rsidR="00580409">
              <w:t xml:space="preserve"> </w:t>
            </w:r>
            <w:r w:rsidR="00580409" w:rsidRPr="00D614BD">
              <w:t>v</w:t>
            </w:r>
            <w:r w:rsidR="00580409">
              <w:t> </w:t>
            </w:r>
            <w:r w:rsidR="00D614BD" w:rsidRPr="00D614BD">
              <w:t xml:space="preserve">této </w:t>
            </w:r>
            <w:r w:rsidR="00D614BD">
              <w:t>Dohodě</w:t>
            </w:r>
            <w:r w:rsidR="00D614BD" w:rsidRPr="00D614BD">
              <w:t>.</w:t>
            </w:r>
          </w:p>
        </w:tc>
        <w:tc>
          <w:tcPr>
            <w:tcW w:w="283" w:type="dxa"/>
            <w:tcBorders>
              <w:right w:val="nil"/>
            </w:tcBorders>
          </w:tcPr>
          <w:p w14:paraId="2490E378" w14:textId="77777777" w:rsidR="006951EA" w:rsidRPr="005C17A9" w:rsidRDefault="006951EA" w:rsidP="00DF3042">
            <w:pPr>
              <w:spacing w:line="276" w:lineRule="auto"/>
            </w:pPr>
          </w:p>
        </w:tc>
        <w:tc>
          <w:tcPr>
            <w:tcW w:w="4394" w:type="dxa"/>
            <w:tcBorders>
              <w:left w:val="nil"/>
            </w:tcBorders>
            <w:shd w:val="clear" w:color="auto" w:fill="auto"/>
          </w:tcPr>
          <w:p w14:paraId="657338CD" w14:textId="3E027CAD" w:rsidR="006951EA" w:rsidRPr="005C17A9" w:rsidRDefault="006951EA" w:rsidP="00DF3042">
            <w:pPr>
              <w:pStyle w:val="X2"/>
              <w:spacing w:line="276" w:lineRule="auto"/>
            </w:pPr>
            <w:r w:rsidRPr="00E42536">
              <w:t xml:space="preserve">The Potential Investor undertakes to ensure that all its employees, </w:t>
            </w:r>
            <w:r w:rsidRPr="00E42536">
              <w:lastRenderedPageBreak/>
              <w:t xml:space="preserve">cooperating persons and advisors or any third persons to whom the Potential Investor disclosed the Confidential Information are bound by the duty of confidentiality and protection of the business secrets and by the terms of handling of the Confidential Information in at least same extent as agreed </w:t>
            </w:r>
            <w:r w:rsidR="00877E91">
              <w:t>in this Agreement</w:t>
            </w:r>
            <w:r w:rsidRPr="00E42536">
              <w:t>.</w:t>
            </w:r>
          </w:p>
        </w:tc>
      </w:tr>
      <w:tr w:rsidR="006951EA" w:rsidRPr="0061796D" w14:paraId="7F0A8204" w14:textId="77777777" w:rsidTr="00C02A78">
        <w:tc>
          <w:tcPr>
            <w:tcW w:w="4395" w:type="dxa"/>
            <w:shd w:val="clear" w:color="auto" w:fill="auto"/>
          </w:tcPr>
          <w:p w14:paraId="728A23AB" w14:textId="0B9EF9FF" w:rsidR="006951EA" w:rsidRPr="005C17A9" w:rsidRDefault="00D614BD" w:rsidP="00D614BD">
            <w:pPr>
              <w:pStyle w:val="CZ2"/>
              <w:spacing w:line="276" w:lineRule="auto"/>
            </w:pPr>
            <w:r>
              <w:rPr>
                <w:lang w:val="en-GB"/>
              </w:rPr>
              <w:lastRenderedPageBreak/>
              <w:t>N</w:t>
            </w:r>
            <w:r w:rsidRPr="00D614BD">
              <w:t xml:space="preserve">eprodleně poté, co </w:t>
            </w:r>
            <w:r w:rsidR="00E50F81">
              <w:t xml:space="preserve">Zájemce </w:t>
            </w:r>
            <w:r w:rsidRPr="00D614BD">
              <w:t>obdrží od Společnosti příslušnou žádost, nebo poté, co je jednání</w:t>
            </w:r>
            <w:r w:rsidR="00580409">
              <w:t xml:space="preserve"> </w:t>
            </w:r>
            <w:r w:rsidR="00580409" w:rsidRPr="00D614BD">
              <w:t>o</w:t>
            </w:r>
            <w:r w:rsidR="00580409">
              <w:t> </w:t>
            </w:r>
            <w:r>
              <w:t>A</w:t>
            </w:r>
            <w:r w:rsidRPr="00D614BD">
              <w:t xml:space="preserve">kvizici ukončeno jinak než provedením </w:t>
            </w:r>
            <w:r>
              <w:t>A</w:t>
            </w:r>
            <w:r w:rsidRPr="00D614BD">
              <w:t xml:space="preserve">kvizice, </w:t>
            </w:r>
            <w:r w:rsidR="00E50F81">
              <w:t xml:space="preserve">Zájemce </w:t>
            </w:r>
            <w:r w:rsidRPr="00D614BD">
              <w:t>zničí nebo vrátí Společnosti veškeré Důvěrné informace,</w:t>
            </w:r>
            <w:r w:rsidR="00580409">
              <w:t xml:space="preserve"> </w:t>
            </w:r>
            <w:r w:rsidR="00580409" w:rsidRPr="00D614BD">
              <w:t>a</w:t>
            </w:r>
            <w:r w:rsidR="00580409">
              <w:t> </w:t>
            </w:r>
            <w:r w:rsidRPr="00D614BD">
              <w:t>to</w:t>
            </w:r>
            <w:r w:rsidR="00580409">
              <w:t xml:space="preserve"> </w:t>
            </w:r>
            <w:r w:rsidR="00580409" w:rsidRPr="00D614BD">
              <w:t>v</w:t>
            </w:r>
            <w:r w:rsidR="00580409">
              <w:t> </w:t>
            </w:r>
            <w:r>
              <w:t>vždy</w:t>
            </w:r>
            <w:r w:rsidRPr="00D614BD">
              <w:t xml:space="preserve"> </w:t>
            </w:r>
            <w:r>
              <w:t>společně</w:t>
            </w:r>
            <w:r w:rsidRPr="00D614BD">
              <w:t xml:space="preserve"> se všemi kopiemi Důvěrných informací</w:t>
            </w:r>
            <w:r w:rsidR="00580409">
              <w:t xml:space="preserve"> </w:t>
            </w:r>
            <w:r w:rsidR="00580409" w:rsidRPr="00D614BD">
              <w:t>a</w:t>
            </w:r>
            <w:r w:rsidR="00580409">
              <w:t> </w:t>
            </w:r>
            <w:r w:rsidRPr="00D614BD">
              <w:t>všemi dalšími nosiči, na kterých jsou Důvěrné informace</w:t>
            </w:r>
            <w:r w:rsidR="00580409">
              <w:t xml:space="preserve"> </w:t>
            </w:r>
            <w:r w:rsidR="00580409" w:rsidRPr="00D614BD">
              <w:t>v</w:t>
            </w:r>
            <w:r w:rsidR="00580409">
              <w:t> </w:t>
            </w:r>
            <w:r w:rsidRPr="00D614BD">
              <w:t xml:space="preserve">držení </w:t>
            </w:r>
            <w:r w:rsidR="00E50F81">
              <w:t xml:space="preserve">Zájemce </w:t>
            </w:r>
            <w:r w:rsidRPr="00D614BD">
              <w:t>uloženy.</w:t>
            </w:r>
          </w:p>
        </w:tc>
        <w:tc>
          <w:tcPr>
            <w:tcW w:w="283" w:type="dxa"/>
            <w:tcBorders>
              <w:right w:val="nil"/>
            </w:tcBorders>
          </w:tcPr>
          <w:p w14:paraId="38875CA5" w14:textId="77777777" w:rsidR="006951EA" w:rsidRPr="005C17A9" w:rsidRDefault="006951EA" w:rsidP="00DF3042">
            <w:pPr>
              <w:spacing w:line="276" w:lineRule="auto"/>
            </w:pPr>
          </w:p>
        </w:tc>
        <w:tc>
          <w:tcPr>
            <w:tcW w:w="4394" w:type="dxa"/>
            <w:tcBorders>
              <w:left w:val="nil"/>
            </w:tcBorders>
            <w:shd w:val="clear" w:color="auto" w:fill="auto"/>
          </w:tcPr>
          <w:p w14:paraId="3BF9F3CB" w14:textId="0F6FDB35" w:rsidR="006951EA" w:rsidRPr="005C17A9" w:rsidRDefault="006951EA" w:rsidP="00DF3042">
            <w:pPr>
              <w:pStyle w:val="X2"/>
              <w:spacing w:line="276" w:lineRule="auto"/>
            </w:pPr>
            <w:r w:rsidRPr="00951946">
              <w:t>Promptly after the Potential Investor receives the relevant request from the</w:t>
            </w:r>
            <w:r>
              <w:t xml:space="preserve"> </w:t>
            </w:r>
            <w:r w:rsidRPr="00951946">
              <w:t xml:space="preserve">Company, or the negotiating concerning the Acquisition is terminated otherwise than by </w:t>
            </w:r>
            <w:r>
              <w:t>conducting the Acquisition</w:t>
            </w:r>
            <w:r w:rsidRPr="00951946">
              <w:t>, the Potential Investor shall, as may be determined by the Company at their sole discretion, destroy or return to</w:t>
            </w:r>
            <w:r>
              <w:t xml:space="preserve"> </w:t>
            </w:r>
            <w:r w:rsidRPr="00951946">
              <w:t>the Company any and all Confidential Information, in any case together with any and all copies of Confidential Information and all other media on which Confidential Information in the possession of the Potential Investor is stored.</w:t>
            </w:r>
          </w:p>
        </w:tc>
      </w:tr>
      <w:tr w:rsidR="006951EA" w:rsidRPr="0061796D" w14:paraId="4BF13A05" w14:textId="77777777" w:rsidTr="00C02A78">
        <w:tc>
          <w:tcPr>
            <w:tcW w:w="4395" w:type="dxa"/>
            <w:shd w:val="clear" w:color="auto" w:fill="auto"/>
          </w:tcPr>
          <w:p w14:paraId="1867BD8A" w14:textId="70D0460C" w:rsidR="00F11217" w:rsidRDefault="00E50F81" w:rsidP="00DF3042">
            <w:pPr>
              <w:pStyle w:val="CZ2"/>
              <w:spacing w:line="276" w:lineRule="auto"/>
            </w:pPr>
            <w:r>
              <w:t xml:space="preserve">Zájemce </w:t>
            </w:r>
            <w:r w:rsidR="00D614BD" w:rsidRPr="00D614BD">
              <w:t xml:space="preserve">tímto bere na vědomí, že Důvěrné informace jsou </w:t>
            </w:r>
            <w:r w:rsidR="00D614BD">
              <w:t>mu</w:t>
            </w:r>
            <w:r w:rsidR="00D614BD" w:rsidRPr="00D614BD">
              <w:t xml:space="preserve"> poskytovány</w:t>
            </w:r>
            <w:r w:rsidR="00580409">
              <w:t xml:space="preserve"> </w:t>
            </w:r>
            <w:r w:rsidR="00580409" w:rsidRPr="00D614BD">
              <w:t>a</w:t>
            </w:r>
            <w:r w:rsidR="00580409">
              <w:t> </w:t>
            </w:r>
            <w:r w:rsidR="00D614BD" w:rsidRPr="00D614BD">
              <w:t>zpřístupňovány na jeho vlastní žádost</w:t>
            </w:r>
            <w:r w:rsidR="00580409">
              <w:t xml:space="preserve"> </w:t>
            </w:r>
            <w:r w:rsidR="00580409" w:rsidRPr="00D614BD">
              <w:t>a</w:t>
            </w:r>
            <w:r w:rsidR="00580409">
              <w:t> </w:t>
            </w:r>
            <w:r w:rsidR="00D614BD" w:rsidRPr="00D614BD">
              <w:t>Společnost nemá žádnou povinnost takové zpřístupnění nebo poskytnutí Důvěrných informací provést.</w:t>
            </w:r>
          </w:p>
          <w:p w14:paraId="512ADA66" w14:textId="5EEE250C" w:rsidR="006951EA" w:rsidRPr="005C17A9" w:rsidRDefault="006951EA" w:rsidP="00F11217">
            <w:pPr>
              <w:pStyle w:val="CZ2"/>
              <w:numPr>
                <w:ilvl w:val="0"/>
                <w:numId w:val="0"/>
              </w:numPr>
              <w:spacing w:line="276" w:lineRule="auto"/>
              <w:ind w:left="567"/>
            </w:pPr>
          </w:p>
        </w:tc>
        <w:tc>
          <w:tcPr>
            <w:tcW w:w="283" w:type="dxa"/>
            <w:tcBorders>
              <w:right w:val="nil"/>
            </w:tcBorders>
          </w:tcPr>
          <w:p w14:paraId="74095A23" w14:textId="77777777" w:rsidR="006951EA" w:rsidRPr="00D614BD" w:rsidRDefault="006951EA" w:rsidP="00DF3042">
            <w:pPr>
              <w:spacing w:line="276" w:lineRule="auto"/>
              <w:rPr>
                <w:lang w:val="cs-CZ"/>
              </w:rPr>
            </w:pPr>
          </w:p>
        </w:tc>
        <w:tc>
          <w:tcPr>
            <w:tcW w:w="4394" w:type="dxa"/>
            <w:tcBorders>
              <w:left w:val="nil"/>
            </w:tcBorders>
            <w:shd w:val="clear" w:color="auto" w:fill="auto"/>
          </w:tcPr>
          <w:p w14:paraId="25D3DDD0" w14:textId="355AA49C" w:rsidR="00D614BD" w:rsidRPr="005C17A9" w:rsidRDefault="006951EA" w:rsidP="00F11217">
            <w:pPr>
              <w:pStyle w:val="X2"/>
              <w:spacing w:line="276" w:lineRule="auto"/>
            </w:pPr>
            <w:r w:rsidRPr="00951946">
              <w:t>The Potential Investor hereby acknowledges that the Confidential Information is provided and disclosed to the Potential Investor at its own request, and the</w:t>
            </w:r>
            <w:r>
              <w:t xml:space="preserve"> </w:t>
            </w:r>
            <w:r w:rsidRPr="00951946">
              <w:t xml:space="preserve">Company does not have any obligation to make any such disclosure or provision of any Confidential Information. </w:t>
            </w:r>
          </w:p>
        </w:tc>
      </w:tr>
      <w:tr w:rsidR="00F11217" w:rsidRPr="0061796D" w14:paraId="0EF9B9C9" w14:textId="77777777" w:rsidTr="00C02A78">
        <w:tc>
          <w:tcPr>
            <w:tcW w:w="4395" w:type="dxa"/>
            <w:shd w:val="clear" w:color="auto" w:fill="auto"/>
          </w:tcPr>
          <w:p w14:paraId="097133C9" w14:textId="16A3F53B" w:rsidR="00F11217" w:rsidRPr="00D614BD" w:rsidRDefault="00E50F81" w:rsidP="00DF3042">
            <w:pPr>
              <w:pStyle w:val="CZ2"/>
              <w:spacing w:line="276" w:lineRule="auto"/>
            </w:pPr>
            <w:r>
              <w:t xml:space="preserve">Zájemce </w:t>
            </w:r>
            <w:r w:rsidR="00F11217" w:rsidRPr="00D614BD">
              <w:t xml:space="preserve">je povinen </w:t>
            </w:r>
            <w:r w:rsidR="00877E91">
              <w:t xml:space="preserve">nahradit </w:t>
            </w:r>
            <w:r w:rsidR="00F11217" w:rsidRPr="00D614BD">
              <w:t>Společnost</w:t>
            </w:r>
            <w:r w:rsidR="00F11217">
              <w:t xml:space="preserve">i škodu </w:t>
            </w:r>
            <w:r w:rsidR="00F11217" w:rsidRPr="00D614BD">
              <w:t>a</w:t>
            </w:r>
            <w:r w:rsidR="00F11217">
              <w:t> </w:t>
            </w:r>
            <w:r w:rsidR="00F11217" w:rsidRPr="00D614BD">
              <w:t>uhradit jí veškeré náklady</w:t>
            </w:r>
            <w:r w:rsidR="00F11217">
              <w:t xml:space="preserve"> </w:t>
            </w:r>
            <w:r w:rsidR="00F11217" w:rsidRPr="00D614BD">
              <w:t>a</w:t>
            </w:r>
            <w:r w:rsidR="00F11217">
              <w:t xml:space="preserve"> ztráty</w:t>
            </w:r>
            <w:r w:rsidR="00F11217" w:rsidRPr="00D614BD">
              <w:t>, které jí vznik</w:t>
            </w:r>
            <w:r w:rsidR="00AD5F18">
              <w:t>ly</w:t>
            </w:r>
            <w:r w:rsidR="00F11217" w:rsidRPr="00D614BD">
              <w:t xml:space="preserve"> přímo či nepřímo</w:t>
            </w:r>
            <w:r w:rsidR="00F11217">
              <w:t xml:space="preserve"> </w:t>
            </w:r>
            <w:r w:rsidR="00F11217" w:rsidRPr="00D614BD">
              <w:t>v</w:t>
            </w:r>
            <w:r w:rsidR="00F11217">
              <w:t> </w:t>
            </w:r>
            <w:r w:rsidR="00F11217" w:rsidRPr="00D614BD">
              <w:t xml:space="preserve">důsledku prozrazení jakýchkoli Důvěrných informací </w:t>
            </w:r>
            <w:r>
              <w:t xml:space="preserve">Zájemcem </w:t>
            </w:r>
            <w:r w:rsidR="00F11217" w:rsidRPr="00D614BD">
              <w:t>jakékoli třetí straně</w:t>
            </w:r>
            <w:r w:rsidR="00877E91">
              <w:t>,</w:t>
            </w:r>
            <w:r w:rsidR="00F11217" w:rsidRPr="00D614BD">
              <w:t xml:space="preserve"> nebo neoprávněného použití jakýchkoli Důvěrných informací </w:t>
            </w:r>
            <w:r>
              <w:t>Zájemcem</w:t>
            </w:r>
            <w:r w:rsidR="00F11217" w:rsidRPr="00D614BD">
              <w:t>.</w:t>
            </w:r>
          </w:p>
        </w:tc>
        <w:tc>
          <w:tcPr>
            <w:tcW w:w="283" w:type="dxa"/>
            <w:tcBorders>
              <w:right w:val="nil"/>
            </w:tcBorders>
          </w:tcPr>
          <w:p w14:paraId="56DC6662" w14:textId="77777777" w:rsidR="00F11217" w:rsidRPr="00D614BD" w:rsidRDefault="00F11217" w:rsidP="00DF3042">
            <w:pPr>
              <w:spacing w:line="276" w:lineRule="auto"/>
              <w:rPr>
                <w:lang w:val="cs-CZ"/>
              </w:rPr>
            </w:pPr>
          </w:p>
        </w:tc>
        <w:tc>
          <w:tcPr>
            <w:tcW w:w="4394" w:type="dxa"/>
            <w:tcBorders>
              <w:left w:val="nil"/>
            </w:tcBorders>
            <w:shd w:val="clear" w:color="auto" w:fill="auto"/>
          </w:tcPr>
          <w:p w14:paraId="45BA1858" w14:textId="77777777" w:rsidR="00F11217" w:rsidRDefault="00F11217" w:rsidP="00DA75F1">
            <w:pPr>
              <w:pStyle w:val="X2"/>
              <w:spacing w:line="276" w:lineRule="auto"/>
            </w:pPr>
            <w:r w:rsidRPr="00951946">
              <w:t>The Potential Investor shall indemnify</w:t>
            </w:r>
            <w:r>
              <w:t xml:space="preserve"> </w:t>
            </w:r>
            <w:r w:rsidRPr="00951946">
              <w:t>the Company and reimburse to them</w:t>
            </w:r>
            <w:r w:rsidRPr="00951946" w:rsidDel="00387088">
              <w:t xml:space="preserve"> </w:t>
            </w:r>
            <w:r w:rsidRPr="00951946">
              <w:t>any and all costs and losses that they</w:t>
            </w:r>
            <w:r w:rsidRPr="00951946" w:rsidDel="00387088">
              <w:t xml:space="preserve"> </w:t>
            </w:r>
            <w:r w:rsidRPr="00951946">
              <w:t>incur</w:t>
            </w:r>
            <w:r w:rsidR="00AD5F18">
              <w:t>red</w:t>
            </w:r>
            <w:r w:rsidRPr="00951946">
              <w:t xml:space="preserve"> or suffer</w:t>
            </w:r>
            <w:r w:rsidR="00AD5F18">
              <w:t>red</w:t>
            </w:r>
            <w:r w:rsidRPr="00951946">
              <w:t>, directly or indirectly, as</w:t>
            </w:r>
            <w:r>
              <w:t xml:space="preserve"> </w:t>
            </w:r>
            <w:r w:rsidRPr="00951946">
              <w:t>a</w:t>
            </w:r>
            <w:r>
              <w:t> </w:t>
            </w:r>
            <w:r w:rsidRPr="00951946">
              <w:t>result of the disclosure of any Confidential Information by the Potential Investor to any third party or unauthorised use of any Confidential Information by the Potential Investor.</w:t>
            </w:r>
          </w:p>
          <w:p w14:paraId="60509890" w14:textId="3616BC8C" w:rsidR="00A33006" w:rsidRPr="00951946" w:rsidRDefault="00A33006" w:rsidP="00A33006">
            <w:pPr>
              <w:pStyle w:val="X2"/>
              <w:numPr>
                <w:ilvl w:val="0"/>
                <w:numId w:val="0"/>
              </w:numPr>
              <w:spacing w:line="276" w:lineRule="auto"/>
              <w:ind w:left="567"/>
            </w:pPr>
          </w:p>
        </w:tc>
      </w:tr>
      <w:tr w:rsidR="006951EA" w:rsidRPr="0061796D" w14:paraId="545BFBCE" w14:textId="77777777" w:rsidTr="00C02A78">
        <w:tc>
          <w:tcPr>
            <w:tcW w:w="4395" w:type="dxa"/>
            <w:shd w:val="clear" w:color="auto" w:fill="auto"/>
          </w:tcPr>
          <w:p w14:paraId="004BBA45" w14:textId="3D68DE62" w:rsidR="006951EA" w:rsidRPr="005C17A9" w:rsidRDefault="00D614BD" w:rsidP="00D607E3">
            <w:pPr>
              <w:pStyle w:val="CZ1"/>
            </w:pPr>
            <w:r>
              <w:lastRenderedPageBreak/>
              <w:t>SPOLEČNÁ USTANOVENÍ</w:t>
            </w:r>
          </w:p>
        </w:tc>
        <w:tc>
          <w:tcPr>
            <w:tcW w:w="283" w:type="dxa"/>
            <w:tcBorders>
              <w:right w:val="nil"/>
            </w:tcBorders>
          </w:tcPr>
          <w:p w14:paraId="7435A47B" w14:textId="77777777" w:rsidR="006951EA" w:rsidRPr="005C17A9" w:rsidRDefault="006951EA" w:rsidP="00DF3042">
            <w:pPr>
              <w:spacing w:line="276" w:lineRule="auto"/>
            </w:pPr>
          </w:p>
        </w:tc>
        <w:tc>
          <w:tcPr>
            <w:tcW w:w="4394" w:type="dxa"/>
            <w:tcBorders>
              <w:left w:val="nil"/>
            </w:tcBorders>
            <w:shd w:val="clear" w:color="auto" w:fill="auto"/>
          </w:tcPr>
          <w:p w14:paraId="48F40476" w14:textId="2C8AFE97" w:rsidR="006951EA" w:rsidRPr="005C17A9" w:rsidRDefault="006951EA" w:rsidP="00DF3042">
            <w:pPr>
              <w:pStyle w:val="X1"/>
              <w:spacing w:line="276" w:lineRule="auto"/>
            </w:pPr>
            <w:r w:rsidRPr="000D7886">
              <w:t>Final Provisions</w:t>
            </w:r>
          </w:p>
        </w:tc>
      </w:tr>
      <w:tr w:rsidR="006951EA" w:rsidRPr="0061796D" w14:paraId="52024B44" w14:textId="77777777" w:rsidTr="00C02A78">
        <w:tc>
          <w:tcPr>
            <w:tcW w:w="4395" w:type="dxa"/>
            <w:shd w:val="clear" w:color="auto" w:fill="auto"/>
          </w:tcPr>
          <w:p w14:paraId="1B0D4451" w14:textId="0CA6CB5D" w:rsidR="006951EA" w:rsidRDefault="00D614BD" w:rsidP="00DF3042">
            <w:pPr>
              <w:pStyle w:val="CZ2"/>
              <w:spacing w:line="276" w:lineRule="auto"/>
            </w:pPr>
            <w:r w:rsidRPr="00D614BD">
              <w:t xml:space="preserve">Tato </w:t>
            </w:r>
            <w:r>
              <w:t>D</w:t>
            </w:r>
            <w:r w:rsidRPr="00D614BD">
              <w:t>ohoda byla sepsána ve dvou vyhotoveních,</w:t>
            </w:r>
            <w:r w:rsidR="00580409">
              <w:t xml:space="preserve"> </w:t>
            </w:r>
            <w:r w:rsidR="00580409" w:rsidRPr="00D614BD">
              <w:t>z</w:t>
            </w:r>
            <w:r w:rsidR="00580409">
              <w:t> </w:t>
            </w:r>
            <w:r w:rsidRPr="00D614BD">
              <w:t xml:space="preserve">nichž každá </w:t>
            </w:r>
            <w:r w:rsidR="00936665">
              <w:t>S</w:t>
            </w:r>
            <w:r w:rsidRPr="00D614BD">
              <w:t xml:space="preserve">trana obdrží jedno. Tato </w:t>
            </w:r>
            <w:r>
              <w:t>D</w:t>
            </w:r>
            <w:r w:rsidRPr="00D614BD">
              <w:t>ohoda ruší</w:t>
            </w:r>
            <w:r w:rsidR="00580409">
              <w:t xml:space="preserve"> </w:t>
            </w:r>
            <w:r w:rsidR="00580409" w:rsidRPr="00D614BD">
              <w:t>a</w:t>
            </w:r>
            <w:r w:rsidR="00580409">
              <w:t> </w:t>
            </w:r>
            <w:r w:rsidRPr="00D614BD">
              <w:t xml:space="preserve">nahrazuje veškerá předchozí ujednání stejného nebo podobného rozsahu mezi </w:t>
            </w:r>
            <w:r w:rsidR="00936665">
              <w:t>S</w:t>
            </w:r>
            <w:r w:rsidRPr="00D614BD">
              <w:t>tranami, ať již písemná nebo ústní.</w:t>
            </w:r>
          </w:p>
        </w:tc>
        <w:tc>
          <w:tcPr>
            <w:tcW w:w="283" w:type="dxa"/>
            <w:tcBorders>
              <w:right w:val="nil"/>
            </w:tcBorders>
          </w:tcPr>
          <w:p w14:paraId="670299F6" w14:textId="77777777" w:rsidR="006951EA" w:rsidRPr="00D614BD" w:rsidRDefault="006951EA" w:rsidP="00DF3042">
            <w:pPr>
              <w:spacing w:line="276" w:lineRule="auto"/>
              <w:rPr>
                <w:lang w:val="cs-CZ"/>
              </w:rPr>
            </w:pPr>
          </w:p>
        </w:tc>
        <w:tc>
          <w:tcPr>
            <w:tcW w:w="4394" w:type="dxa"/>
            <w:tcBorders>
              <w:left w:val="nil"/>
            </w:tcBorders>
            <w:shd w:val="clear" w:color="auto" w:fill="auto"/>
          </w:tcPr>
          <w:p w14:paraId="69D95798" w14:textId="1E02087F" w:rsidR="006951EA" w:rsidRDefault="006951EA" w:rsidP="00DF3042">
            <w:pPr>
              <w:pStyle w:val="X2"/>
              <w:spacing w:line="276" w:lineRule="auto"/>
            </w:pPr>
            <w:r w:rsidRPr="000D7886">
              <w:t xml:space="preserve">This Agreement has been executed in two counterparts, of which each </w:t>
            </w:r>
            <w:r w:rsidR="00936665">
              <w:t>P</w:t>
            </w:r>
            <w:r w:rsidRPr="000D7886">
              <w:t>arty shall</w:t>
            </w:r>
            <w:r>
              <w:t xml:space="preserve"> </w:t>
            </w:r>
            <w:r w:rsidRPr="000D7886">
              <w:t xml:space="preserve">receive one. This Agreement supersedes and replaces any preceding arrangements of the same or similar scope between the </w:t>
            </w:r>
            <w:r w:rsidR="00936665">
              <w:t>P</w:t>
            </w:r>
            <w:r w:rsidRPr="000D7886">
              <w:t>arties, whether written or oral.</w:t>
            </w:r>
          </w:p>
        </w:tc>
      </w:tr>
      <w:tr w:rsidR="006951EA" w:rsidRPr="0061796D" w14:paraId="046681EB" w14:textId="77777777" w:rsidTr="00C02A78">
        <w:tc>
          <w:tcPr>
            <w:tcW w:w="4395" w:type="dxa"/>
            <w:shd w:val="clear" w:color="auto" w:fill="auto"/>
          </w:tcPr>
          <w:p w14:paraId="119ABDE5" w14:textId="6DE67C5A" w:rsidR="006951EA" w:rsidRDefault="00D614BD" w:rsidP="00DF3042">
            <w:pPr>
              <w:pStyle w:val="CZ2"/>
              <w:spacing w:line="276" w:lineRule="auto"/>
            </w:pPr>
            <w:r w:rsidRPr="00D614BD">
              <w:t>Práva</w:t>
            </w:r>
            <w:r w:rsidR="00580409">
              <w:t xml:space="preserve"> </w:t>
            </w:r>
            <w:r w:rsidR="00580409" w:rsidRPr="00D614BD">
              <w:t>a</w:t>
            </w:r>
            <w:r w:rsidR="00580409">
              <w:t> </w:t>
            </w:r>
            <w:r w:rsidRPr="00D614BD">
              <w:t xml:space="preserve">povinnosti </w:t>
            </w:r>
            <w:r w:rsidR="00936665">
              <w:t>Stran</w:t>
            </w:r>
            <w:r w:rsidRPr="00D614BD">
              <w:t xml:space="preserve"> výslovně neupravené</w:t>
            </w:r>
            <w:r w:rsidR="00580409">
              <w:t xml:space="preserve"> </w:t>
            </w:r>
            <w:r w:rsidR="00580409" w:rsidRPr="00D614BD">
              <w:t>v</w:t>
            </w:r>
            <w:r w:rsidR="00580409">
              <w:t> </w:t>
            </w:r>
            <w:r w:rsidRPr="00D614BD">
              <w:t xml:space="preserve">této </w:t>
            </w:r>
            <w:r>
              <w:t>Dohodě</w:t>
            </w:r>
            <w:r w:rsidRPr="00D614BD">
              <w:t xml:space="preserve"> se řídí právním řádem České republiky.</w:t>
            </w:r>
          </w:p>
        </w:tc>
        <w:tc>
          <w:tcPr>
            <w:tcW w:w="283" w:type="dxa"/>
            <w:tcBorders>
              <w:right w:val="nil"/>
            </w:tcBorders>
          </w:tcPr>
          <w:p w14:paraId="7873A905" w14:textId="77777777" w:rsidR="006951EA" w:rsidRPr="005C17A9" w:rsidRDefault="006951EA" w:rsidP="00DF3042">
            <w:pPr>
              <w:spacing w:line="276" w:lineRule="auto"/>
            </w:pPr>
          </w:p>
        </w:tc>
        <w:tc>
          <w:tcPr>
            <w:tcW w:w="4394" w:type="dxa"/>
            <w:tcBorders>
              <w:left w:val="nil"/>
            </w:tcBorders>
            <w:shd w:val="clear" w:color="auto" w:fill="auto"/>
          </w:tcPr>
          <w:p w14:paraId="082812D1" w14:textId="32FC1922" w:rsidR="006951EA" w:rsidRDefault="006951EA" w:rsidP="00DF3042">
            <w:pPr>
              <w:pStyle w:val="X2"/>
              <w:spacing w:line="276" w:lineRule="auto"/>
            </w:pPr>
            <w:r w:rsidRPr="000D7886">
              <w:t xml:space="preserve">Rights and obligations of the </w:t>
            </w:r>
            <w:r w:rsidR="00936665">
              <w:t>Parties</w:t>
            </w:r>
            <w:r w:rsidRPr="000D7886">
              <w:t xml:space="preserve"> not expressly set forth in this Agreement shall be governed by the laws of the Czech Republic.</w:t>
            </w:r>
          </w:p>
        </w:tc>
      </w:tr>
      <w:tr w:rsidR="006951EA" w:rsidRPr="0061796D" w14:paraId="25001E1E" w14:textId="77777777" w:rsidTr="00C02A78">
        <w:tc>
          <w:tcPr>
            <w:tcW w:w="4395" w:type="dxa"/>
            <w:shd w:val="clear" w:color="auto" w:fill="auto"/>
          </w:tcPr>
          <w:p w14:paraId="0FC3E700" w14:textId="4516192E" w:rsidR="006951EA" w:rsidRDefault="00D614BD" w:rsidP="00DF3042">
            <w:pPr>
              <w:pStyle w:val="CZ2"/>
              <w:spacing w:line="276" w:lineRule="auto"/>
            </w:pPr>
            <w:r w:rsidRPr="00D614BD">
              <w:t>Není-li</w:t>
            </w:r>
            <w:r w:rsidR="00580409">
              <w:t xml:space="preserve"> </w:t>
            </w:r>
            <w:r w:rsidR="00580409" w:rsidRPr="00D614BD">
              <w:t>v</w:t>
            </w:r>
            <w:r w:rsidR="00580409">
              <w:t> </w:t>
            </w:r>
            <w:r w:rsidRPr="00D614BD">
              <w:t xml:space="preserve">této </w:t>
            </w:r>
            <w:r w:rsidR="00CA1E07">
              <w:t>Dohodě</w:t>
            </w:r>
            <w:r w:rsidRPr="00D614BD">
              <w:t xml:space="preserve"> stanoveno jinak, nelze tuto </w:t>
            </w:r>
            <w:r>
              <w:t>Dohodu</w:t>
            </w:r>
            <w:r w:rsidRPr="00D614BD">
              <w:t xml:space="preserve"> měnit ani doplňovat jinak než písemnými dodatky podepsanými oběma </w:t>
            </w:r>
            <w:r w:rsidR="00936665">
              <w:t>S</w:t>
            </w:r>
            <w:r w:rsidRPr="00D614BD">
              <w:t>tranami.</w:t>
            </w:r>
          </w:p>
        </w:tc>
        <w:tc>
          <w:tcPr>
            <w:tcW w:w="283" w:type="dxa"/>
            <w:tcBorders>
              <w:right w:val="nil"/>
            </w:tcBorders>
          </w:tcPr>
          <w:p w14:paraId="69819ED9" w14:textId="77777777" w:rsidR="006951EA" w:rsidRPr="005C17A9" w:rsidRDefault="006951EA" w:rsidP="00DF3042">
            <w:pPr>
              <w:spacing w:line="276" w:lineRule="auto"/>
            </w:pPr>
          </w:p>
        </w:tc>
        <w:tc>
          <w:tcPr>
            <w:tcW w:w="4394" w:type="dxa"/>
            <w:tcBorders>
              <w:left w:val="nil"/>
            </w:tcBorders>
            <w:shd w:val="clear" w:color="auto" w:fill="auto"/>
          </w:tcPr>
          <w:p w14:paraId="2CB7DF59" w14:textId="623332BD" w:rsidR="006951EA" w:rsidRDefault="006951EA" w:rsidP="00DF3042">
            <w:pPr>
              <w:pStyle w:val="X2"/>
              <w:spacing w:line="276" w:lineRule="auto"/>
            </w:pPr>
            <w:r w:rsidRPr="000D7886">
              <w:t xml:space="preserve">Unless otherwise provided hereunder, this Agreement may not be amended or modified except by written amendments signed by both </w:t>
            </w:r>
            <w:r w:rsidR="00936665">
              <w:t>P</w:t>
            </w:r>
            <w:r w:rsidRPr="000D7886">
              <w:t>arties.</w:t>
            </w:r>
          </w:p>
        </w:tc>
      </w:tr>
      <w:tr w:rsidR="006951EA" w:rsidRPr="0061796D" w14:paraId="3FD06DAD" w14:textId="77777777" w:rsidTr="00C02A78">
        <w:tc>
          <w:tcPr>
            <w:tcW w:w="4395" w:type="dxa"/>
            <w:shd w:val="clear" w:color="auto" w:fill="auto"/>
          </w:tcPr>
          <w:p w14:paraId="2EC4DE36" w14:textId="70DB9688" w:rsidR="006951EA" w:rsidRDefault="00D614BD" w:rsidP="00DF3042">
            <w:pPr>
              <w:pStyle w:val="CZ2"/>
              <w:spacing w:line="276" w:lineRule="auto"/>
            </w:pPr>
            <w:r w:rsidRPr="00D614BD">
              <w:t xml:space="preserve">Pokud některé ustanovení této </w:t>
            </w:r>
            <w:r>
              <w:t>Dohody</w:t>
            </w:r>
            <w:r w:rsidRPr="00D614BD">
              <w:t xml:space="preserve"> je, stane se nebo bude </w:t>
            </w:r>
            <w:r>
              <w:t>prohlášeno za</w:t>
            </w:r>
            <w:r w:rsidRPr="00D614BD">
              <w:t xml:space="preserve"> neplatné nebo nevymahatelné, nebude mít tato neplatnost nebo nevymahatelnost (v maximálním rozsahu povoleném příslušnými právními předpisy) za následek neplatnost nebo nevymahatelnost zbývajících ustanovení této </w:t>
            </w:r>
            <w:r>
              <w:t>Dohody</w:t>
            </w:r>
            <w:r w:rsidRPr="00D614BD">
              <w:t>.</w:t>
            </w:r>
            <w:r w:rsidR="00580409">
              <w:t xml:space="preserve"> </w:t>
            </w:r>
            <w:r w:rsidR="00580409" w:rsidRPr="00D614BD">
              <w:t>V</w:t>
            </w:r>
            <w:r w:rsidR="00580409">
              <w:t> </w:t>
            </w:r>
            <w:r w:rsidRPr="00D614BD">
              <w:t xml:space="preserve">takovém případě se </w:t>
            </w:r>
            <w:r w:rsidR="00936665">
              <w:t>S</w:t>
            </w:r>
            <w:r w:rsidRPr="00D614BD">
              <w:t>trany dohodly, že neplatné nebo nevymahatelné ustanovení nahradí platným</w:t>
            </w:r>
            <w:r w:rsidR="00580409">
              <w:t xml:space="preserve"> </w:t>
            </w:r>
            <w:r w:rsidR="00580409" w:rsidRPr="00D614BD">
              <w:t>a</w:t>
            </w:r>
            <w:r w:rsidR="00580409">
              <w:t> </w:t>
            </w:r>
            <w:r w:rsidRPr="00D614BD">
              <w:t>vymahatelným ustanovením, které</w:t>
            </w:r>
            <w:r w:rsidR="00580409">
              <w:t xml:space="preserve"> </w:t>
            </w:r>
            <w:r w:rsidR="00580409" w:rsidRPr="00D614BD">
              <w:t>v</w:t>
            </w:r>
            <w:r w:rsidR="00580409">
              <w:t> </w:t>
            </w:r>
            <w:r w:rsidRPr="00D614BD">
              <w:t>maximálním rozsahu povoleném zákonem dosáhne stejného výsledku</w:t>
            </w:r>
            <w:r w:rsidR="00580409">
              <w:t xml:space="preserve"> </w:t>
            </w:r>
            <w:r w:rsidR="00580409" w:rsidRPr="00D614BD">
              <w:t>a</w:t>
            </w:r>
            <w:r w:rsidR="00580409">
              <w:t> </w:t>
            </w:r>
            <w:r w:rsidRPr="00D614BD">
              <w:t>účinku, jaký předpokládá nahrazované ustanovení.</w:t>
            </w:r>
          </w:p>
        </w:tc>
        <w:tc>
          <w:tcPr>
            <w:tcW w:w="283" w:type="dxa"/>
            <w:tcBorders>
              <w:right w:val="nil"/>
            </w:tcBorders>
          </w:tcPr>
          <w:p w14:paraId="518D998E" w14:textId="77777777" w:rsidR="006951EA" w:rsidRPr="00D614BD" w:rsidRDefault="006951EA" w:rsidP="00DF3042">
            <w:pPr>
              <w:spacing w:line="276" w:lineRule="auto"/>
              <w:rPr>
                <w:lang w:val="cs-CZ"/>
              </w:rPr>
            </w:pPr>
          </w:p>
        </w:tc>
        <w:tc>
          <w:tcPr>
            <w:tcW w:w="4394" w:type="dxa"/>
            <w:tcBorders>
              <w:left w:val="nil"/>
            </w:tcBorders>
            <w:shd w:val="clear" w:color="auto" w:fill="auto"/>
          </w:tcPr>
          <w:p w14:paraId="4048B18E" w14:textId="38794918" w:rsidR="006951EA" w:rsidRDefault="006951EA" w:rsidP="00DF3042">
            <w:pPr>
              <w:pStyle w:val="X2"/>
              <w:spacing w:line="276" w:lineRule="auto"/>
            </w:pPr>
            <w:r w:rsidRPr="000D7886">
              <w:t xml:space="preserve">If any provision of this Agreement is, becomes or is determined to be invalid or unenforceable, such invalidity or unenforceability shall not (to the maximum extent permitted by applicable law) invalidate or render unenforceable the remaining provisions of this Agreement. In such event, the </w:t>
            </w:r>
            <w:r w:rsidR="00936665">
              <w:t>P</w:t>
            </w:r>
            <w:r w:rsidRPr="000D7886">
              <w:t>arties hereby agree to replace the invalid or unenforceable provision with</w:t>
            </w:r>
            <w:r w:rsidR="00580409">
              <w:t xml:space="preserve"> </w:t>
            </w:r>
            <w:r w:rsidR="00580409" w:rsidRPr="000D7886">
              <w:t>a</w:t>
            </w:r>
            <w:r w:rsidR="00580409">
              <w:t> </w:t>
            </w:r>
            <w:r w:rsidRPr="000D7886">
              <w:t>valid and enforceable provision which will achieve, to the maximum extent permitted by law, the same result and effect as contemplated by the provision to be replaced.</w:t>
            </w:r>
          </w:p>
        </w:tc>
      </w:tr>
      <w:tr w:rsidR="006951EA" w:rsidRPr="0061796D" w14:paraId="5968CC59" w14:textId="77777777" w:rsidTr="00C02A78">
        <w:tc>
          <w:tcPr>
            <w:tcW w:w="4395" w:type="dxa"/>
            <w:shd w:val="clear" w:color="auto" w:fill="auto"/>
          </w:tcPr>
          <w:p w14:paraId="48E07B70" w14:textId="5EB1FFD2" w:rsidR="006951EA" w:rsidRDefault="00936665" w:rsidP="00DF3042">
            <w:pPr>
              <w:pStyle w:val="CZ2"/>
              <w:spacing w:line="276" w:lineRule="auto"/>
            </w:pPr>
            <w:r>
              <w:rPr>
                <w:lang w:val="en-GB"/>
              </w:rPr>
              <w:t>S</w:t>
            </w:r>
            <w:r w:rsidR="00D614BD" w:rsidRPr="00D614BD">
              <w:t xml:space="preserve">trany se dohodly, že bez výslovného předchozího souhlasu druhé </w:t>
            </w:r>
            <w:r>
              <w:t>S</w:t>
            </w:r>
            <w:r w:rsidR="00D614BD" w:rsidRPr="00D614BD">
              <w:t xml:space="preserve">trany není žádná ze </w:t>
            </w:r>
            <w:r>
              <w:t>S</w:t>
            </w:r>
            <w:r w:rsidR="00D614BD" w:rsidRPr="00D614BD">
              <w:t>tran oprávněna postoupit nebo převést jakákoli svá práva</w:t>
            </w:r>
            <w:r w:rsidR="00580409">
              <w:t xml:space="preserve"> </w:t>
            </w:r>
            <w:r w:rsidR="00580409" w:rsidRPr="00D614BD">
              <w:t>a</w:t>
            </w:r>
            <w:r w:rsidR="00580409">
              <w:t> </w:t>
            </w:r>
            <w:r w:rsidR="00D614BD" w:rsidRPr="00D614BD">
              <w:t>povinnosti vyplývající</w:t>
            </w:r>
            <w:r w:rsidR="00580409">
              <w:t xml:space="preserve"> </w:t>
            </w:r>
            <w:r w:rsidR="00580409" w:rsidRPr="00D614BD">
              <w:t>z</w:t>
            </w:r>
            <w:r w:rsidR="00580409">
              <w:t> </w:t>
            </w:r>
            <w:r w:rsidR="00D614BD" w:rsidRPr="00D614BD">
              <w:t xml:space="preserve">této </w:t>
            </w:r>
            <w:r w:rsidR="00D614BD">
              <w:t>Dohody</w:t>
            </w:r>
            <w:r w:rsidR="00D614BD" w:rsidRPr="00D614BD">
              <w:t xml:space="preserve"> na třetí osobu.</w:t>
            </w:r>
          </w:p>
        </w:tc>
        <w:tc>
          <w:tcPr>
            <w:tcW w:w="283" w:type="dxa"/>
            <w:tcBorders>
              <w:right w:val="nil"/>
            </w:tcBorders>
          </w:tcPr>
          <w:p w14:paraId="66EC49A8" w14:textId="77777777" w:rsidR="006951EA" w:rsidRPr="005C17A9" w:rsidRDefault="006951EA" w:rsidP="00DF3042">
            <w:pPr>
              <w:spacing w:line="276" w:lineRule="auto"/>
            </w:pPr>
          </w:p>
        </w:tc>
        <w:tc>
          <w:tcPr>
            <w:tcW w:w="4394" w:type="dxa"/>
            <w:tcBorders>
              <w:left w:val="nil"/>
            </w:tcBorders>
            <w:shd w:val="clear" w:color="auto" w:fill="auto"/>
          </w:tcPr>
          <w:p w14:paraId="11D2A74C" w14:textId="11B3B424" w:rsidR="006951EA" w:rsidRDefault="006951EA" w:rsidP="00DF3042">
            <w:pPr>
              <w:pStyle w:val="X2"/>
              <w:spacing w:line="276" w:lineRule="auto"/>
            </w:pPr>
            <w:r w:rsidRPr="000D7886">
              <w:t xml:space="preserve">The </w:t>
            </w:r>
            <w:r w:rsidR="00936665">
              <w:t>P</w:t>
            </w:r>
            <w:r w:rsidRPr="000D7886">
              <w:t xml:space="preserve">arties agree that without the express prior consent of other </w:t>
            </w:r>
            <w:r w:rsidR="00936665">
              <w:t>P</w:t>
            </w:r>
            <w:r w:rsidRPr="000D7886">
              <w:t xml:space="preserve">arty, neither </w:t>
            </w:r>
            <w:r w:rsidR="00856BDC">
              <w:t>Party</w:t>
            </w:r>
            <w:r w:rsidRPr="000D7886">
              <w:t xml:space="preserve"> shall be entitled to assign or transfer any of its rights and obligations arising under this Agreement to any third party.</w:t>
            </w:r>
          </w:p>
        </w:tc>
      </w:tr>
      <w:tr w:rsidR="00A43204" w:rsidRPr="00A43204" w14:paraId="19CA13B5" w14:textId="77777777" w:rsidTr="00C02A78">
        <w:tc>
          <w:tcPr>
            <w:tcW w:w="4395" w:type="dxa"/>
            <w:shd w:val="clear" w:color="auto" w:fill="auto"/>
          </w:tcPr>
          <w:p w14:paraId="3192B3D9" w14:textId="12B303D6" w:rsidR="00A43204" w:rsidRPr="00A810B4" w:rsidRDefault="00A43204" w:rsidP="00DF3042">
            <w:pPr>
              <w:pStyle w:val="CZ2"/>
              <w:spacing w:line="276" w:lineRule="auto"/>
              <w:rPr>
                <w:lang w:val="en-GB"/>
              </w:rPr>
            </w:pPr>
            <w:r w:rsidRPr="00A810B4">
              <w:rPr>
                <w:lang w:val="en-GB"/>
              </w:rPr>
              <w:lastRenderedPageBreak/>
              <w:t>Tato Dohoda byla sepsána</w:t>
            </w:r>
            <w:r w:rsidR="00580409" w:rsidRPr="00A810B4">
              <w:rPr>
                <w:lang w:val="en-GB"/>
              </w:rPr>
              <w:t xml:space="preserve"> v </w:t>
            </w:r>
            <w:r w:rsidRPr="00A810B4">
              <w:rPr>
                <w:lang w:val="en-GB"/>
              </w:rPr>
              <w:t>českém</w:t>
            </w:r>
            <w:r w:rsidR="00580409" w:rsidRPr="00A810B4">
              <w:rPr>
                <w:lang w:val="en-GB"/>
              </w:rPr>
              <w:t xml:space="preserve"> a </w:t>
            </w:r>
            <w:r w:rsidRPr="00A810B4">
              <w:rPr>
                <w:lang w:val="en-GB"/>
              </w:rPr>
              <w:t>anglickém znění.</w:t>
            </w:r>
            <w:r w:rsidR="00580409" w:rsidRPr="00A810B4">
              <w:rPr>
                <w:lang w:val="en-GB"/>
              </w:rPr>
              <w:t xml:space="preserve"> V </w:t>
            </w:r>
            <w:r w:rsidRPr="00A810B4">
              <w:rPr>
                <w:lang w:val="en-GB"/>
              </w:rPr>
              <w:t>případě rozporů má přednost znění české.</w:t>
            </w:r>
          </w:p>
        </w:tc>
        <w:tc>
          <w:tcPr>
            <w:tcW w:w="283" w:type="dxa"/>
            <w:tcBorders>
              <w:right w:val="nil"/>
            </w:tcBorders>
          </w:tcPr>
          <w:p w14:paraId="640A49B9" w14:textId="77777777" w:rsidR="00A43204" w:rsidRPr="00A810B4" w:rsidRDefault="00A43204" w:rsidP="00DF3042">
            <w:pPr>
              <w:spacing w:line="276" w:lineRule="auto"/>
            </w:pPr>
          </w:p>
        </w:tc>
        <w:tc>
          <w:tcPr>
            <w:tcW w:w="4394" w:type="dxa"/>
            <w:tcBorders>
              <w:left w:val="nil"/>
            </w:tcBorders>
            <w:shd w:val="clear" w:color="auto" w:fill="auto"/>
          </w:tcPr>
          <w:p w14:paraId="476B660A" w14:textId="77777777" w:rsidR="00A43204" w:rsidRDefault="00A43204" w:rsidP="00DF3042">
            <w:pPr>
              <w:pStyle w:val="X2"/>
              <w:spacing w:line="276" w:lineRule="auto"/>
            </w:pPr>
            <w:r w:rsidRPr="00A43204">
              <w:t>This Agreement has been drawn up in Czech and English. In the event of any conflict, the Czech version shall prevail.</w:t>
            </w:r>
          </w:p>
          <w:p w14:paraId="79BB1964" w14:textId="33AAB317" w:rsidR="00516ECB" w:rsidRPr="00A43204" w:rsidRDefault="00516ECB" w:rsidP="00516ECB">
            <w:pPr>
              <w:pStyle w:val="X2"/>
              <w:numPr>
                <w:ilvl w:val="0"/>
                <w:numId w:val="0"/>
              </w:numPr>
              <w:spacing w:line="276" w:lineRule="auto"/>
              <w:ind w:left="567"/>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83"/>
      </w:tblGrid>
      <w:tr w:rsidR="0031241E" w:rsidRPr="007E04E0" w14:paraId="065F3AE9" w14:textId="77777777" w:rsidTr="00E50F81">
        <w:trPr>
          <w:trHeight w:hRule="exact" w:val="1418"/>
        </w:trPr>
        <w:tc>
          <w:tcPr>
            <w:tcW w:w="7371" w:type="dxa"/>
          </w:tcPr>
          <w:p w14:paraId="665AD00E" w14:textId="68F15CBF" w:rsidR="007C2E9D" w:rsidRDefault="007C2E9D" w:rsidP="00DF3042">
            <w:pPr>
              <w:spacing w:after="0" w:line="276" w:lineRule="auto"/>
            </w:pPr>
            <w:r w:rsidRPr="00C621B8">
              <w:t>V </w:t>
            </w:r>
            <w:r>
              <w:t>/ In _____</w:t>
            </w:r>
            <w:r w:rsidR="00856BDC">
              <w:t>__</w:t>
            </w:r>
            <w:r>
              <w:t>_____</w:t>
            </w:r>
            <w:r w:rsidRPr="00C621B8">
              <w:t xml:space="preserve"> dne </w:t>
            </w:r>
            <w:r>
              <w:t xml:space="preserve"> / on ________ 2025</w:t>
            </w:r>
          </w:p>
          <w:p w14:paraId="43A36A86" w14:textId="77777777" w:rsidR="007C2E9D" w:rsidRDefault="007C2E9D" w:rsidP="00DF3042">
            <w:pPr>
              <w:spacing w:after="0" w:line="276" w:lineRule="auto"/>
            </w:pPr>
          </w:p>
          <w:p w14:paraId="18121F50" w14:textId="67945B3E" w:rsidR="0031241E" w:rsidRPr="006951EA" w:rsidRDefault="00A33006" w:rsidP="00DF3042">
            <w:pPr>
              <w:spacing w:after="0" w:line="276" w:lineRule="auto"/>
            </w:pPr>
            <w:r>
              <w:t xml:space="preserve">Za Společnost / </w:t>
            </w:r>
            <w:r w:rsidR="006951EA" w:rsidRPr="006951EA">
              <w:t>on behalf of the Company</w:t>
            </w:r>
          </w:p>
        </w:tc>
        <w:tc>
          <w:tcPr>
            <w:tcW w:w="1683" w:type="dxa"/>
          </w:tcPr>
          <w:p w14:paraId="0A47FA6F" w14:textId="752B791E" w:rsidR="0031241E" w:rsidRPr="007E04E0" w:rsidRDefault="0031241E" w:rsidP="00DF3042">
            <w:pPr>
              <w:spacing w:after="0" w:line="276" w:lineRule="auto"/>
            </w:pPr>
          </w:p>
        </w:tc>
      </w:tr>
      <w:tr w:rsidR="0031241E" w14:paraId="001C0E50" w14:textId="77777777" w:rsidTr="00E50F81">
        <w:tc>
          <w:tcPr>
            <w:tcW w:w="7371" w:type="dxa"/>
          </w:tcPr>
          <w:p w14:paraId="0E63B42B" w14:textId="77777777" w:rsidR="0031241E" w:rsidRDefault="0031241E" w:rsidP="00DF3042">
            <w:pPr>
              <w:spacing w:after="0" w:line="276" w:lineRule="auto"/>
            </w:pPr>
            <w:r>
              <w:t>______________________</w:t>
            </w:r>
          </w:p>
        </w:tc>
        <w:tc>
          <w:tcPr>
            <w:tcW w:w="1683" w:type="dxa"/>
          </w:tcPr>
          <w:p w14:paraId="22039FF4" w14:textId="1FD26D36" w:rsidR="0031241E" w:rsidRDefault="0031241E" w:rsidP="00DF3042">
            <w:pPr>
              <w:spacing w:after="0" w:line="276" w:lineRule="auto"/>
            </w:pPr>
          </w:p>
        </w:tc>
      </w:tr>
      <w:tr w:rsidR="0031241E" w14:paraId="5C1515CD" w14:textId="77777777" w:rsidTr="00E50F81">
        <w:trPr>
          <w:trHeight w:hRule="exact" w:val="1739"/>
        </w:trPr>
        <w:tc>
          <w:tcPr>
            <w:tcW w:w="7371" w:type="dxa"/>
          </w:tcPr>
          <w:p w14:paraId="0B267E65" w14:textId="118F28F5" w:rsidR="006951EA" w:rsidRPr="006951EA" w:rsidRDefault="00856BDC" w:rsidP="00DF3042">
            <w:pPr>
              <w:spacing w:after="0" w:line="276" w:lineRule="auto"/>
              <w:rPr>
                <w:b/>
                <w:bCs/>
              </w:rPr>
            </w:pPr>
            <w:r>
              <w:rPr>
                <w:b/>
                <w:bCs/>
              </w:rPr>
              <w:t xml:space="preserve">Jméno / </w:t>
            </w:r>
            <w:r w:rsidR="006951EA" w:rsidRPr="006951EA">
              <w:rPr>
                <w:b/>
                <w:bCs/>
              </w:rPr>
              <w:t xml:space="preserve">Name: </w:t>
            </w:r>
            <w:r w:rsidR="00D614BD" w:rsidRPr="00856BDC">
              <w:t>Ing. Pavel Babiš, Ph.D., MBA</w:t>
            </w:r>
          </w:p>
          <w:p w14:paraId="5ECBA3CF" w14:textId="638F9A90" w:rsidR="006951EA" w:rsidRPr="006951EA" w:rsidRDefault="00856BDC" w:rsidP="00DF3042">
            <w:pPr>
              <w:spacing w:after="0" w:line="276" w:lineRule="auto"/>
            </w:pPr>
            <w:r>
              <w:t>Funkce</w:t>
            </w:r>
            <w:r w:rsidR="001771CF">
              <w:t xml:space="preserve"> </w:t>
            </w:r>
            <w:r>
              <w:t xml:space="preserve">/ </w:t>
            </w:r>
            <w:r w:rsidR="006951EA" w:rsidRPr="006951EA">
              <w:t xml:space="preserve">Position: </w:t>
            </w:r>
            <w:r w:rsidR="001771CF">
              <w:t xml:space="preserve">Člen představenstva / </w:t>
            </w:r>
            <w:r w:rsidR="00D614BD">
              <w:t>Membe</w:t>
            </w:r>
            <w:r>
              <w:t>r of the Board Of Directors</w:t>
            </w:r>
          </w:p>
          <w:p w14:paraId="5CE0FEEF" w14:textId="3759EA71" w:rsidR="0031241E" w:rsidRDefault="0031241E" w:rsidP="00DF3042">
            <w:pPr>
              <w:spacing w:after="0" w:line="276" w:lineRule="auto"/>
            </w:pPr>
          </w:p>
        </w:tc>
        <w:tc>
          <w:tcPr>
            <w:tcW w:w="1683" w:type="dxa"/>
          </w:tcPr>
          <w:p w14:paraId="3F4BDAC9" w14:textId="66B46717" w:rsidR="0031241E" w:rsidRPr="006951EA" w:rsidRDefault="0031241E" w:rsidP="00DF3042">
            <w:pPr>
              <w:spacing w:after="0" w:line="276" w:lineRule="auto"/>
            </w:pPr>
          </w:p>
        </w:tc>
      </w:tr>
      <w:tr w:rsidR="006951EA" w14:paraId="1235EA77" w14:textId="77777777" w:rsidTr="00E50F81">
        <w:trPr>
          <w:trHeight w:hRule="exact" w:val="567"/>
        </w:trPr>
        <w:tc>
          <w:tcPr>
            <w:tcW w:w="7371" w:type="dxa"/>
          </w:tcPr>
          <w:p w14:paraId="5706D8D1" w14:textId="5CA646F0" w:rsidR="006951EA" w:rsidRPr="00C621B8" w:rsidRDefault="006951EA" w:rsidP="00DF3042">
            <w:pPr>
              <w:spacing w:after="0" w:line="276" w:lineRule="auto"/>
            </w:pPr>
            <w:r w:rsidRPr="00C621B8">
              <w:t>V </w:t>
            </w:r>
            <w:r w:rsidR="00D614BD">
              <w:t>/ In ______</w:t>
            </w:r>
            <w:r w:rsidR="00856BDC">
              <w:t>__</w:t>
            </w:r>
            <w:r w:rsidR="00D614BD">
              <w:t>____</w:t>
            </w:r>
            <w:r w:rsidRPr="00C621B8">
              <w:t xml:space="preserve"> dne </w:t>
            </w:r>
            <w:r w:rsidR="00D614BD">
              <w:t xml:space="preserve"> / </w:t>
            </w:r>
            <w:r>
              <w:t>on</w:t>
            </w:r>
            <w:r w:rsidR="00D614BD">
              <w:t xml:space="preserve"> ________ 2025</w:t>
            </w:r>
          </w:p>
        </w:tc>
        <w:tc>
          <w:tcPr>
            <w:tcW w:w="1683" w:type="dxa"/>
          </w:tcPr>
          <w:p w14:paraId="3CB8A244" w14:textId="34CCF8B8" w:rsidR="006951EA" w:rsidRDefault="006951EA" w:rsidP="00DF3042">
            <w:pPr>
              <w:spacing w:after="0" w:line="276" w:lineRule="auto"/>
            </w:pPr>
          </w:p>
        </w:tc>
      </w:tr>
      <w:tr w:rsidR="006951EA" w:rsidRPr="007E04E0" w14:paraId="32E50A56" w14:textId="77777777" w:rsidTr="00E50F81">
        <w:trPr>
          <w:trHeight w:hRule="exact" w:val="1418"/>
        </w:trPr>
        <w:tc>
          <w:tcPr>
            <w:tcW w:w="7371" w:type="dxa"/>
          </w:tcPr>
          <w:p w14:paraId="39708FF4" w14:textId="6EE54D90" w:rsidR="006951EA" w:rsidRPr="006951EA" w:rsidRDefault="00A33006" w:rsidP="00DF3042">
            <w:pPr>
              <w:spacing w:after="0" w:line="276" w:lineRule="auto"/>
            </w:pPr>
            <w:r>
              <w:t xml:space="preserve">Za Zájemce / </w:t>
            </w:r>
            <w:r w:rsidR="006951EA" w:rsidRPr="006951EA">
              <w:t>on behalf of the Potential Investor</w:t>
            </w:r>
          </w:p>
        </w:tc>
        <w:tc>
          <w:tcPr>
            <w:tcW w:w="1683" w:type="dxa"/>
          </w:tcPr>
          <w:p w14:paraId="2E4F4A60" w14:textId="366E7912" w:rsidR="006951EA" w:rsidRPr="007E04E0" w:rsidRDefault="006951EA" w:rsidP="00DF3042">
            <w:pPr>
              <w:spacing w:after="0" w:line="276" w:lineRule="auto"/>
            </w:pPr>
          </w:p>
        </w:tc>
      </w:tr>
      <w:tr w:rsidR="006951EA" w14:paraId="38659606" w14:textId="77777777" w:rsidTr="00E50F81">
        <w:tc>
          <w:tcPr>
            <w:tcW w:w="7371" w:type="dxa"/>
          </w:tcPr>
          <w:p w14:paraId="17CA4755" w14:textId="77777777" w:rsidR="006951EA" w:rsidRDefault="006951EA" w:rsidP="00DF3042">
            <w:pPr>
              <w:spacing w:after="0" w:line="276" w:lineRule="auto"/>
            </w:pPr>
            <w:r>
              <w:t>______________________</w:t>
            </w:r>
          </w:p>
        </w:tc>
        <w:tc>
          <w:tcPr>
            <w:tcW w:w="1683" w:type="dxa"/>
          </w:tcPr>
          <w:p w14:paraId="461F434C" w14:textId="4727734B" w:rsidR="006951EA" w:rsidRDefault="006951EA" w:rsidP="00DF3042">
            <w:pPr>
              <w:spacing w:after="0" w:line="276" w:lineRule="auto"/>
            </w:pPr>
          </w:p>
        </w:tc>
      </w:tr>
      <w:tr w:rsidR="006951EA" w:rsidRPr="006951EA" w14:paraId="12CEBAB9" w14:textId="77777777" w:rsidTr="00E50F81">
        <w:trPr>
          <w:trHeight w:hRule="exact" w:val="1739"/>
        </w:trPr>
        <w:tc>
          <w:tcPr>
            <w:tcW w:w="7371" w:type="dxa"/>
          </w:tcPr>
          <w:p w14:paraId="354EF818" w14:textId="1EE485FE" w:rsidR="006951EA" w:rsidRPr="006951EA" w:rsidRDefault="007C2E9D" w:rsidP="00DF3042">
            <w:pPr>
              <w:spacing w:after="0" w:line="276" w:lineRule="auto"/>
              <w:rPr>
                <w:b/>
                <w:bCs/>
              </w:rPr>
            </w:pPr>
            <w:r>
              <w:rPr>
                <w:b/>
                <w:bCs/>
              </w:rPr>
              <w:t xml:space="preserve">Jméno / </w:t>
            </w:r>
            <w:r w:rsidR="006951EA" w:rsidRPr="006951EA">
              <w:rPr>
                <w:b/>
                <w:bCs/>
              </w:rPr>
              <w:t xml:space="preserve">Name: </w:t>
            </w:r>
            <w:r w:rsidRPr="007C2E9D">
              <w:rPr>
                <w:b/>
                <w:bCs/>
                <w:highlight w:val="yellow"/>
              </w:rPr>
              <w:t>[___]</w:t>
            </w:r>
          </w:p>
          <w:p w14:paraId="502E8E1B" w14:textId="3CECA497" w:rsidR="006951EA" w:rsidRPr="006951EA" w:rsidRDefault="007C2E9D" w:rsidP="00DF3042">
            <w:pPr>
              <w:spacing w:after="0" w:line="276" w:lineRule="auto"/>
            </w:pPr>
            <w:r>
              <w:t xml:space="preserve">Funkce / </w:t>
            </w:r>
            <w:r w:rsidR="006951EA" w:rsidRPr="006951EA">
              <w:t xml:space="preserve">Position: </w:t>
            </w:r>
            <w:r w:rsidRPr="007C2E9D">
              <w:rPr>
                <w:highlight w:val="yellow"/>
              </w:rPr>
              <w:t>[___]</w:t>
            </w:r>
          </w:p>
        </w:tc>
        <w:tc>
          <w:tcPr>
            <w:tcW w:w="1683" w:type="dxa"/>
          </w:tcPr>
          <w:p w14:paraId="35F85481" w14:textId="4F7ED039" w:rsidR="006951EA" w:rsidRPr="006951EA" w:rsidRDefault="006951EA" w:rsidP="00DF3042">
            <w:pPr>
              <w:spacing w:after="0" w:line="276" w:lineRule="auto"/>
            </w:pPr>
          </w:p>
        </w:tc>
      </w:tr>
    </w:tbl>
    <w:p w14:paraId="2FF24FF0" w14:textId="77777777" w:rsidR="005206F6" w:rsidRPr="005206F6" w:rsidRDefault="005206F6" w:rsidP="00DF3042">
      <w:pPr>
        <w:spacing w:line="276" w:lineRule="auto"/>
      </w:pPr>
    </w:p>
    <w:sectPr w:rsidR="005206F6" w:rsidRPr="005206F6" w:rsidSect="001965BC">
      <w:footerReference w:type="default" r:id="rId11"/>
      <w:type w:val="continuous"/>
      <w:pgSz w:w="11900" w:h="16840"/>
      <w:pgMar w:top="1712" w:right="1418" w:bottom="1418" w:left="1418"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2D45" w14:textId="77777777" w:rsidR="007E782A" w:rsidRDefault="007E782A" w:rsidP="00133963">
      <w:r>
        <w:separator/>
      </w:r>
    </w:p>
    <w:p w14:paraId="508A9DE9" w14:textId="77777777" w:rsidR="007E782A" w:rsidRDefault="007E782A" w:rsidP="00133963"/>
    <w:p w14:paraId="70D8D892" w14:textId="77777777" w:rsidR="007E782A" w:rsidRDefault="007E782A" w:rsidP="00133963"/>
    <w:p w14:paraId="49F94C94" w14:textId="77777777" w:rsidR="007E782A" w:rsidRDefault="007E782A" w:rsidP="00133963"/>
    <w:p w14:paraId="7BFBA733" w14:textId="77777777" w:rsidR="007E782A" w:rsidRDefault="007E782A" w:rsidP="00133963"/>
  </w:endnote>
  <w:endnote w:type="continuationSeparator" w:id="0">
    <w:p w14:paraId="3B0A4B7A" w14:textId="77777777" w:rsidR="007E782A" w:rsidRDefault="007E782A" w:rsidP="00133963">
      <w:r>
        <w:continuationSeparator/>
      </w:r>
    </w:p>
    <w:p w14:paraId="14FE4F1B" w14:textId="77777777" w:rsidR="007E782A" w:rsidRDefault="007E782A" w:rsidP="00133963"/>
    <w:p w14:paraId="7B2D811E" w14:textId="77777777" w:rsidR="007E782A" w:rsidRDefault="007E782A" w:rsidP="00133963"/>
    <w:p w14:paraId="1BBF5296" w14:textId="77777777" w:rsidR="007E782A" w:rsidRDefault="007E782A" w:rsidP="00133963"/>
    <w:p w14:paraId="15D0138B" w14:textId="77777777" w:rsidR="007E782A" w:rsidRDefault="007E782A" w:rsidP="0013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285817"/>
      <w:docPartObj>
        <w:docPartGallery w:val="Page Numbers (Bottom of Page)"/>
        <w:docPartUnique/>
      </w:docPartObj>
    </w:sdtPr>
    <w:sdtContent>
      <w:p w14:paraId="64EFE18B" w14:textId="58E4DBD6" w:rsidR="001965BC" w:rsidRDefault="001965BC">
        <w:pPr>
          <w:pStyle w:val="Zpat"/>
          <w:jc w:val="center"/>
        </w:pPr>
        <w:r>
          <w:fldChar w:fldCharType="begin"/>
        </w:r>
        <w:r>
          <w:instrText>PAGE   \* MERGEFORMAT</w:instrText>
        </w:r>
        <w:r>
          <w:fldChar w:fldCharType="separate"/>
        </w:r>
        <w:r>
          <w:rPr>
            <w:lang w:val="cs-CZ"/>
          </w:rPr>
          <w:t>2</w:t>
        </w:r>
        <w:r>
          <w:fldChar w:fldCharType="end"/>
        </w:r>
      </w:p>
    </w:sdtContent>
  </w:sdt>
  <w:p w14:paraId="43CEDDDE" w14:textId="1A01A16E" w:rsidR="001965BC" w:rsidRPr="001965BC" w:rsidRDefault="001965BC" w:rsidP="001965BC">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98BD" w14:textId="77777777" w:rsidR="007E782A" w:rsidRDefault="007E782A" w:rsidP="00133963">
      <w:r>
        <w:separator/>
      </w:r>
    </w:p>
  </w:footnote>
  <w:footnote w:type="continuationSeparator" w:id="0">
    <w:p w14:paraId="7FA02BB5" w14:textId="77777777" w:rsidR="007E782A" w:rsidRDefault="007E782A" w:rsidP="00133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CA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205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DC1D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32E1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6E0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1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C2C5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5AB9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2BCF6"/>
    <w:lvl w:ilvl="0">
      <w:start w:val="1"/>
      <w:numFmt w:val="decimal"/>
      <w:lvlText w:val="%1."/>
      <w:lvlJc w:val="left"/>
      <w:pPr>
        <w:tabs>
          <w:tab w:val="num" w:pos="360"/>
        </w:tabs>
        <w:ind w:left="360" w:hanging="360"/>
      </w:pPr>
    </w:lvl>
  </w:abstractNum>
  <w:abstractNum w:abstractNumId="9" w15:restartNumberingAfterBreak="0">
    <w:nsid w:val="049C7523"/>
    <w:multiLevelType w:val="multilevel"/>
    <w:tmpl w:val="D846915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059A1D01"/>
    <w:multiLevelType w:val="hybridMultilevel"/>
    <w:tmpl w:val="9878A036"/>
    <w:lvl w:ilvl="0" w:tplc="C860BE20">
      <w:start w:val="1"/>
      <w:numFmt w:val="upperLetter"/>
      <w:pStyle w:val="ListLegal2"/>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085C6C"/>
    <w:multiLevelType w:val="hybridMultilevel"/>
    <w:tmpl w:val="80BC2F10"/>
    <w:lvl w:ilvl="0" w:tplc="FEF835A4">
      <w:start w:val="1"/>
      <w:numFmt w:val="upperLetter"/>
      <w:pStyle w:val="CZPreambule"/>
      <w:lvlText w:val="(%1)"/>
      <w:lvlJc w:val="left"/>
      <w:pPr>
        <w:ind w:left="405" w:hanging="360"/>
      </w:pPr>
      <w:rPr>
        <w:rFonts w:ascii="Arial" w:hAnsi="Arial" w:hint="default"/>
        <w:sz w:val="22"/>
        <w:szCs w:val="28"/>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2" w15:restartNumberingAfterBreak="0">
    <w:nsid w:val="07697922"/>
    <w:multiLevelType w:val="multilevel"/>
    <w:tmpl w:val="411C2E76"/>
    <w:lvl w:ilvl="0">
      <w:start w:val="1"/>
      <w:numFmt w:val="bullet"/>
      <w:lvlText w:val=""/>
      <w:lvlJc w:val="left"/>
      <w:pPr>
        <w:ind w:left="567" w:hanging="567"/>
      </w:pPr>
      <w:rPr>
        <w:rFonts w:ascii="Symbol" w:hAnsi="Symbol" w:hint="default"/>
      </w:rPr>
    </w:lvl>
    <w:lvl w:ilvl="1">
      <w:start w:val="1"/>
      <w:numFmt w:val="bullet"/>
      <w:lvlText w:val=""/>
      <w:lvlJc w:val="left"/>
      <w:pPr>
        <w:ind w:left="1134" w:firstLine="0"/>
      </w:pPr>
      <w:rPr>
        <w:rFonts w:ascii="Symbol" w:hAnsi="Symbol" w:hint="default"/>
      </w:rPr>
    </w:lvl>
    <w:lvl w:ilvl="2">
      <w:start w:val="1"/>
      <w:numFmt w:val="bullet"/>
      <w:lvlText w:val=""/>
      <w:lvlJc w:val="left"/>
      <w:pPr>
        <w:ind w:left="1701" w:firstLine="0"/>
      </w:pPr>
      <w:rPr>
        <w:rFonts w:ascii="Symbol" w:hAnsi="Symbol" w:hint="default"/>
      </w:rPr>
    </w:lvl>
    <w:lvl w:ilvl="3">
      <w:start w:val="1"/>
      <w:numFmt w:val="bullet"/>
      <w:lvlText w:val=""/>
      <w:lvlJc w:val="left"/>
      <w:pPr>
        <w:ind w:left="2268" w:firstLine="0"/>
      </w:pPr>
      <w:rPr>
        <w:rFonts w:ascii="Symbol" w:hAnsi="Symbol" w:hint="default"/>
      </w:rPr>
    </w:lvl>
    <w:lvl w:ilvl="4">
      <w:start w:val="1"/>
      <w:numFmt w:val="bullet"/>
      <w:lvlText w:val=""/>
      <w:lvlJc w:val="left"/>
      <w:pPr>
        <w:ind w:left="2835" w:firstLine="0"/>
      </w:pPr>
      <w:rPr>
        <w:rFonts w:ascii="Symbol" w:hAnsi="Symbol" w:hint="default"/>
      </w:rPr>
    </w:lvl>
    <w:lvl w:ilvl="5">
      <w:start w:val="1"/>
      <w:numFmt w:val="none"/>
      <w:lvlText w:val=""/>
      <w:lvlJc w:val="left"/>
      <w:pPr>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3" w15:restartNumberingAfterBreak="0">
    <w:nsid w:val="0C427DFB"/>
    <w:multiLevelType w:val="hybridMultilevel"/>
    <w:tmpl w:val="F5902DBC"/>
    <w:lvl w:ilvl="0" w:tplc="F098A19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091AC3"/>
    <w:multiLevelType w:val="multilevel"/>
    <w:tmpl w:val="9284531E"/>
    <w:lvl w:ilvl="0">
      <w:start w:val="1"/>
      <w:numFmt w:val="decimal"/>
      <w:lvlText w:val="(%1)"/>
      <w:lvlJc w:val="left"/>
      <w:pPr>
        <w:ind w:left="405" w:hanging="360"/>
      </w:pPr>
      <w:rPr>
        <w:rFonts w:ascii="Arial" w:hAnsi="Arial"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22376"/>
    <w:multiLevelType w:val="hybridMultilevel"/>
    <w:tmpl w:val="74767340"/>
    <w:lvl w:ilvl="0" w:tplc="F9561AB8">
      <w:start w:val="1"/>
      <w:numFmt w:val="decimal"/>
      <w:pStyle w:val="Annex"/>
      <w:lvlText w:val="ANNEX %1"/>
      <w:lvlJc w:val="left"/>
      <w:pPr>
        <w:ind w:left="0" w:firstLine="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563E54"/>
    <w:multiLevelType w:val="hybridMultilevel"/>
    <w:tmpl w:val="2AE4E7AE"/>
    <w:lvl w:ilvl="0" w:tplc="AE0EEDEE">
      <w:start w:val="1"/>
      <w:numFmt w:val="lowerLetter"/>
      <w:lvlText w:val="(%1)"/>
      <w:lvlJc w:val="left"/>
      <w:pPr>
        <w:ind w:left="1498" w:hanging="360"/>
      </w:p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7" w15:restartNumberingAfterBreak="0">
    <w:nsid w:val="161D7945"/>
    <w:multiLevelType w:val="multilevel"/>
    <w:tmpl w:val="6D34059C"/>
    <w:lvl w:ilvl="0">
      <w:start w:val="1"/>
      <w:numFmt w:val="decimal"/>
      <w:lvlText w:val="(%1)"/>
      <w:lvlJc w:val="left"/>
      <w:pPr>
        <w:ind w:left="403" w:hanging="360"/>
      </w:pPr>
      <w:rPr>
        <w:rFonts w:ascii="Arial" w:hAnsi="Arial" w:hint="default"/>
        <w:sz w:val="2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D10AC"/>
    <w:multiLevelType w:val="multilevel"/>
    <w:tmpl w:val="5664B63C"/>
    <w:lvl w:ilvl="0">
      <w:start w:val="1"/>
      <w:numFmt w:val="bullet"/>
      <w:pStyle w:val="CZ-EN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9" w15:restartNumberingAfterBreak="0">
    <w:nsid w:val="1B88658E"/>
    <w:multiLevelType w:val="multilevel"/>
    <w:tmpl w:val="FD0688D6"/>
    <w:lvl w:ilvl="0">
      <w:start w:val="1"/>
      <w:numFmt w:val="upperLetter"/>
      <w:lvlText w:val="(%1)"/>
      <w:lvlJc w:val="left"/>
      <w:pPr>
        <w:ind w:left="567" w:hanging="567"/>
      </w:pPr>
      <w:rPr>
        <w:rFonts w:ascii="Arial" w:hAnsi="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577D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D3B0B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7A0EFB"/>
    <w:multiLevelType w:val="hybridMultilevel"/>
    <w:tmpl w:val="819CE1E8"/>
    <w:lvl w:ilvl="0" w:tplc="303000EA">
      <w:start w:val="1"/>
      <w:numFmt w:val="decimal"/>
      <w:pStyle w:val="Ploha"/>
      <w:lvlText w:val="PŘÍLOHA %1"/>
      <w:lvlJc w:val="left"/>
      <w:pPr>
        <w:ind w:left="0" w:firstLine="0"/>
      </w:pPr>
      <w:rPr>
        <w:rFont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4F6819"/>
    <w:multiLevelType w:val="multilevel"/>
    <w:tmpl w:val="4DFE8832"/>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7F4DE4"/>
    <w:multiLevelType w:val="multilevel"/>
    <w:tmpl w:val="563CB208"/>
    <w:lvl w:ilvl="0">
      <w:start w:val="1"/>
      <w:numFmt w:val="decimal"/>
      <w:pStyle w:val="X1"/>
      <w:lvlText w:val="%1."/>
      <w:lvlJc w:val="left"/>
      <w:pPr>
        <w:ind w:left="567" w:hanging="567"/>
      </w:pPr>
      <w:rPr>
        <w:rFonts w:hint="default"/>
        <w:sz w:val="22"/>
        <w:szCs w:val="22"/>
      </w:rPr>
    </w:lvl>
    <w:lvl w:ilvl="1">
      <w:start w:val="1"/>
      <w:numFmt w:val="decimal"/>
      <w:pStyle w:val="X2"/>
      <w:lvlText w:val="%1.%2"/>
      <w:lvlJc w:val="left"/>
      <w:pPr>
        <w:ind w:left="567" w:hanging="567"/>
      </w:pPr>
      <w:rPr>
        <w:rFonts w:hint="default"/>
        <w:b w:val="0"/>
        <w:bCs w:val="0"/>
        <w:sz w:val="22"/>
        <w:szCs w:val="28"/>
      </w:rPr>
    </w:lvl>
    <w:lvl w:ilvl="2">
      <w:start w:val="1"/>
      <w:numFmt w:val="lowerRoman"/>
      <w:pStyle w:val="X3"/>
      <w:lvlText w:val="(%3)"/>
      <w:lvlJc w:val="left"/>
      <w:pPr>
        <w:ind w:left="1134" w:hanging="567"/>
      </w:pPr>
      <w:rPr>
        <w:rFonts w:hint="default"/>
        <w:sz w:val="22"/>
        <w:szCs w:val="28"/>
      </w:rPr>
    </w:lvl>
    <w:lvl w:ilvl="3">
      <w:start w:val="1"/>
      <w:numFmt w:val="lowerLetter"/>
      <w:pStyle w:val="X4"/>
      <w:lvlText w:val="(%4)"/>
      <w:lvlJc w:val="left"/>
      <w:pPr>
        <w:ind w:left="1701" w:hanging="567"/>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41495E0D"/>
    <w:multiLevelType w:val="multilevel"/>
    <w:tmpl w:val="7B366180"/>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sz w:val="22"/>
        <w:szCs w:val="28"/>
      </w:rPr>
    </w:lvl>
    <w:lvl w:ilvl="2">
      <w:start w:val="1"/>
      <w:numFmt w:val="lowerRoman"/>
      <w:lvlText w:val="(%3)"/>
      <w:lvlJc w:val="left"/>
      <w:pPr>
        <w:ind w:left="1224" w:hanging="504"/>
      </w:pPr>
      <w:rPr>
        <w:rFonts w:hint="default"/>
        <w:sz w:val="22"/>
        <w:szCs w:val="28"/>
      </w:rPr>
    </w:lvl>
    <w:lvl w:ilvl="3">
      <w:start w:val="1"/>
      <w:numFmt w:val="lowerLetter"/>
      <w:lvlText w:val="(%4)"/>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41A64A4E"/>
    <w:multiLevelType w:val="hybridMultilevel"/>
    <w:tmpl w:val="5950EBDE"/>
    <w:lvl w:ilvl="0" w:tplc="5F7A374E">
      <w:start w:val="1"/>
      <w:numFmt w:val="decimal"/>
      <w:pStyle w:val="XParties"/>
      <w:lvlText w:val="(%1)"/>
      <w:lvlJc w:val="left"/>
      <w:pPr>
        <w:ind w:left="567" w:hanging="567"/>
      </w:pPr>
      <w:rPr>
        <w:rFonts w:ascii="Arial" w:hAnsi="Arial"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225AAF"/>
    <w:multiLevelType w:val="multilevel"/>
    <w:tmpl w:val="A44EF7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864" w:hanging="864"/>
      </w:pPr>
    </w:lvl>
    <w:lvl w:ilvl="4">
      <w:start w:val="1"/>
      <w:numFmt w:val="lowerLetter"/>
      <w:lvlText w:val="(%5)"/>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8" w15:restartNumberingAfterBreak="0">
    <w:nsid w:val="46056852"/>
    <w:multiLevelType w:val="hybridMultilevel"/>
    <w:tmpl w:val="B8FE7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273249"/>
    <w:multiLevelType w:val="hybridMultilevel"/>
    <w:tmpl w:val="0090086E"/>
    <w:lvl w:ilvl="0" w:tplc="98384A16">
      <w:start w:val="1"/>
      <w:numFmt w:val="lowerLetter"/>
      <w:lvlText w:val="(%1)"/>
      <w:lvlJc w:val="left"/>
      <w:pPr>
        <w:ind w:left="2344" w:hanging="360"/>
      </w:pPr>
      <w:rPr>
        <w:rFonts w:hint="default"/>
      </w:r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0" w15:restartNumberingAfterBreak="0">
    <w:nsid w:val="4F9016C6"/>
    <w:multiLevelType w:val="multilevel"/>
    <w:tmpl w:val="EA1E0B6E"/>
    <w:lvl w:ilvl="0">
      <w:start w:val="1"/>
      <w:numFmt w:val="decimal"/>
      <w:lvlText w:val="(%1)"/>
      <w:lvlJc w:val="left"/>
      <w:pPr>
        <w:ind w:left="360" w:hanging="360"/>
      </w:pPr>
      <w:rPr>
        <w:rFonts w:ascii="Arial" w:hAnsi="Arial" w:hint="default"/>
        <w:b w:val="0"/>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AE1F11"/>
    <w:multiLevelType w:val="hybridMultilevel"/>
    <w:tmpl w:val="41EC7AB4"/>
    <w:lvl w:ilvl="0" w:tplc="E6641B22">
      <w:start w:val="1"/>
      <w:numFmt w:val="upperLetter"/>
      <w:pStyle w:val="XPreambule"/>
      <w:lvlText w:val="(%1)"/>
      <w:lvlJc w:val="left"/>
      <w:pPr>
        <w:ind w:left="567" w:hanging="567"/>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B24BC"/>
    <w:multiLevelType w:val="multilevel"/>
    <w:tmpl w:val="06A8CE60"/>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hint="default"/>
        <w:sz w:val="22"/>
        <w:szCs w:val="22"/>
      </w:rPr>
    </w:lvl>
    <w:lvl w:ilvl="2">
      <w:start w:val="1"/>
      <w:numFmt w:val="lowerRoman"/>
      <w:lvlText w:val="(%3)"/>
      <w:lvlJc w:val="left"/>
      <w:pPr>
        <w:ind w:left="1134" w:hanging="567"/>
      </w:pPr>
      <w:rPr>
        <w:rFonts w:hint="default"/>
        <w:sz w:val="22"/>
        <w:szCs w:val="22"/>
      </w:rPr>
    </w:lvl>
    <w:lvl w:ilvl="3">
      <w:start w:val="1"/>
      <w:numFmt w:val="decimal"/>
      <w:isLgl/>
      <w:lvlText w:val="%1.%2.%3.%4"/>
      <w:lvlJc w:val="left"/>
      <w:pPr>
        <w:ind w:left="1701" w:hanging="567"/>
      </w:pPr>
      <w:rPr>
        <w:rFonts w:hint="default"/>
      </w:rPr>
    </w:lvl>
    <w:lvl w:ilvl="4">
      <w:start w:val="1"/>
      <w:numFmt w:val="none"/>
      <w:isLgl/>
      <w:lvlText w:val=""/>
      <w:lvlJc w:val="left"/>
      <w:pPr>
        <w:ind w:left="1080" w:hanging="1080"/>
      </w:pPr>
      <w:rPr>
        <w:rFonts w:hint="default"/>
      </w:rPr>
    </w:lvl>
    <w:lvl w:ilvl="5">
      <w:start w:val="1"/>
      <w:numFmt w:val="none"/>
      <w:isLgl/>
      <w:lvlText w:val=""/>
      <w:lvlJc w:val="left"/>
      <w:pPr>
        <w:ind w:left="1080" w:hanging="1080"/>
      </w:pPr>
      <w:rPr>
        <w:rFonts w:hint="default"/>
      </w:rPr>
    </w:lvl>
    <w:lvl w:ilvl="6">
      <w:start w:val="1"/>
      <w:numFmt w:val="none"/>
      <w:isLgl/>
      <w:lvlText w:val=""/>
      <w:lvlJc w:val="left"/>
      <w:pPr>
        <w:ind w:left="1440" w:hanging="1440"/>
      </w:pPr>
      <w:rPr>
        <w:rFonts w:hint="default"/>
      </w:rPr>
    </w:lvl>
    <w:lvl w:ilvl="7">
      <w:start w:val="1"/>
      <w:numFmt w:val="none"/>
      <w:isLgl/>
      <w:lvlText w:val=""/>
      <w:lvlJc w:val="left"/>
      <w:pPr>
        <w:ind w:left="1440" w:hanging="1440"/>
      </w:pPr>
      <w:rPr>
        <w:rFonts w:hint="default"/>
      </w:rPr>
    </w:lvl>
    <w:lvl w:ilvl="8">
      <w:start w:val="1"/>
      <w:numFmt w:val="none"/>
      <w:isLgl/>
      <w:lvlText w:val=""/>
      <w:lvlJc w:val="left"/>
      <w:pPr>
        <w:ind w:left="1800" w:hanging="1800"/>
      </w:pPr>
      <w:rPr>
        <w:rFonts w:hint="default"/>
      </w:rPr>
    </w:lvl>
  </w:abstractNum>
  <w:abstractNum w:abstractNumId="33" w15:restartNumberingAfterBreak="0">
    <w:nsid w:val="5CAB4C56"/>
    <w:multiLevelType w:val="hybridMultilevel"/>
    <w:tmpl w:val="2C5408F2"/>
    <w:lvl w:ilvl="0" w:tplc="A2A63866">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ED73442"/>
    <w:multiLevelType w:val="hybridMultilevel"/>
    <w:tmpl w:val="E614134C"/>
    <w:lvl w:ilvl="0" w:tplc="A2B6C4B2">
      <w:start w:val="1"/>
      <w:numFmt w:val="bullet"/>
      <w:pStyle w:val="Seznamsodrkami"/>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01D7C"/>
    <w:multiLevelType w:val="hybridMultilevel"/>
    <w:tmpl w:val="0720C0A2"/>
    <w:lvl w:ilvl="0" w:tplc="A2B8F44E">
      <w:start w:val="1"/>
      <w:numFmt w:val="decimal"/>
      <w:pStyle w:val="ListLegal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AB54FF"/>
    <w:multiLevelType w:val="multilevel"/>
    <w:tmpl w:val="5128E3D8"/>
    <w:lvl w:ilvl="0">
      <w:start w:val="1"/>
      <w:numFmt w:val="upperLetter"/>
      <w:lvlText w:val="(%1)"/>
      <w:lvlJc w:val="left"/>
      <w:pPr>
        <w:ind w:left="720" w:hanging="360"/>
      </w:pPr>
      <w:rPr>
        <w:rFonts w:ascii="Arial" w:hAnsi="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A0099B"/>
    <w:multiLevelType w:val="multilevel"/>
    <w:tmpl w:val="08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6E713AE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3E25D3"/>
    <w:multiLevelType w:val="multilevel"/>
    <w:tmpl w:val="78445D1E"/>
    <w:lvl w:ilvl="0">
      <w:start w:val="1"/>
      <w:numFmt w:val="decimal"/>
      <w:pStyle w:val="CZ1"/>
      <w:lvlText w:val="%1."/>
      <w:lvlJc w:val="left"/>
      <w:pPr>
        <w:ind w:left="567" w:hanging="567"/>
      </w:pPr>
      <w:rPr>
        <w:rFonts w:ascii="Arial" w:hAnsi="Arial" w:hint="default"/>
        <w:sz w:val="22"/>
      </w:rPr>
    </w:lvl>
    <w:lvl w:ilvl="1">
      <w:start w:val="1"/>
      <w:numFmt w:val="decimal"/>
      <w:pStyle w:val="CZ2"/>
      <w:isLgl/>
      <w:lvlText w:val="%1.%2"/>
      <w:lvlJc w:val="left"/>
      <w:pPr>
        <w:tabs>
          <w:tab w:val="num" w:pos="567"/>
        </w:tabs>
        <w:ind w:left="567" w:hanging="567"/>
      </w:pPr>
      <w:rPr>
        <w:rFonts w:ascii="Arial" w:hAnsi="Arial" w:hint="default"/>
        <w:sz w:val="22"/>
        <w:szCs w:val="20"/>
      </w:rPr>
    </w:lvl>
    <w:lvl w:ilvl="2">
      <w:start w:val="1"/>
      <w:numFmt w:val="lowerRoman"/>
      <w:pStyle w:val="CZ3"/>
      <w:lvlText w:val="(%3)"/>
      <w:lvlJc w:val="left"/>
      <w:pPr>
        <w:tabs>
          <w:tab w:val="num" w:pos="1134"/>
        </w:tabs>
        <w:ind w:left="1134" w:hanging="567"/>
      </w:pPr>
      <w:rPr>
        <w:rFonts w:ascii="Arial" w:hAnsi="Arial" w:hint="default"/>
        <w:sz w:val="22"/>
        <w:szCs w:val="20"/>
      </w:rPr>
    </w:lvl>
    <w:lvl w:ilvl="3">
      <w:start w:val="1"/>
      <w:numFmt w:val="lowerLetter"/>
      <w:pStyle w:val="CZ4"/>
      <w:lvlText w:val="(%4)"/>
      <w:lvlJc w:val="left"/>
      <w:pPr>
        <w:tabs>
          <w:tab w:val="num" w:pos="1701"/>
        </w:tabs>
        <w:ind w:left="1701" w:hanging="567"/>
      </w:pPr>
      <w:rPr>
        <w:rFonts w:ascii="Arial" w:hAnsi="Arial" w:hint="default"/>
        <w:sz w:val="22"/>
      </w:rPr>
    </w:lvl>
    <w:lvl w:ilvl="4">
      <w:start w:val="1"/>
      <w:numFmt w:val="none"/>
      <w:isLgl/>
      <w:lvlText w:val=""/>
      <w:lvlJc w:val="left"/>
      <w:pPr>
        <w:ind w:left="2268" w:hanging="2268"/>
      </w:pPr>
      <w:rPr>
        <w:rFonts w:hint="default"/>
      </w:rPr>
    </w:lvl>
    <w:lvl w:ilvl="5">
      <w:start w:val="1"/>
      <w:numFmt w:val="none"/>
      <w:isLgl/>
      <w:lvlText w:val=""/>
      <w:lvlJc w:val="left"/>
      <w:pPr>
        <w:ind w:left="1080" w:hanging="1080"/>
      </w:pPr>
      <w:rPr>
        <w:rFonts w:hint="default"/>
      </w:rPr>
    </w:lvl>
    <w:lvl w:ilvl="6">
      <w:start w:val="1"/>
      <w:numFmt w:val="none"/>
      <w:isLgl/>
      <w:lvlText w:val=""/>
      <w:lvlJc w:val="left"/>
      <w:pPr>
        <w:ind w:left="1440" w:hanging="1440"/>
      </w:pPr>
      <w:rPr>
        <w:rFonts w:hint="default"/>
      </w:rPr>
    </w:lvl>
    <w:lvl w:ilvl="7">
      <w:start w:val="1"/>
      <w:numFmt w:val="none"/>
      <w:isLgl/>
      <w:lvlText w:val=""/>
      <w:lvlJc w:val="left"/>
      <w:pPr>
        <w:ind w:left="1440" w:hanging="1440"/>
      </w:pPr>
      <w:rPr>
        <w:rFonts w:hint="default"/>
      </w:rPr>
    </w:lvl>
    <w:lvl w:ilvl="8">
      <w:start w:val="1"/>
      <w:numFmt w:val="none"/>
      <w:isLgl/>
      <w:lvlText w:val=""/>
      <w:lvlJc w:val="left"/>
      <w:pPr>
        <w:ind w:left="1800" w:hanging="1800"/>
      </w:pPr>
      <w:rPr>
        <w:rFonts w:hint="default"/>
      </w:rPr>
    </w:lvl>
  </w:abstractNum>
  <w:abstractNum w:abstractNumId="40" w15:restartNumberingAfterBreak="0">
    <w:nsid w:val="758B3378"/>
    <w:multiLevelType w:val="hybridMultilevel"/>
    <w:tmpl w:val="A3708936"/>
    <w:lvl w:ilvl="0" w:tplc="6562B93E">
      <w:start w:val="1"/>
      <w:numFmt w:val="decimal"/>
      <w:pStyle w:val="CZParties"/>
      <w:lvlText w:val="(%1)"/>
      <w:lvlJc w:val="left"/>
      <w:pPr>
        <w:ind w:left="567" w:hanging="567"/>
      </w:pPr>
      <w:rPr>
        <w:rFonts w:ascii="Arial" w:hAnsi="Arial" w:hint="default"/>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9E0D5B"/>
    <w:multiLevelType w:val="multilevel"/>
    <w:tmpl w:val="4726DDC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8614978">
    <w:abstractNumId w:val="35"/>
  </w:num>
  <w:num w:numId="2" w16cid:durableId="516233411">
    <w:abstractNumId w:val="10"/>
  </w:num>
  <w:num w:numId="3" w16cid:durableId="646398661">
    <w:abstractNumId w:val="37"/>
  </w:num>
  <w:num w:numId="4" w16cid:durableId="1584411695">
    <w:abstractNumId w:val="9"/>
  </w:num>
  <w:num w:numId="5" w16cid:durableId="299120007">
    <w:abstractNumId w:val="34"/>
  </w:num>
  <w:num w:numId="6" w16cid:durableId="660426206">
    <w:abstractNumId w:val="23"/>
  </w:num>
  <w:num w:numId="7" w16cid:durableId="1714891072">
    <w:abstractNumId w:val="13"/>
  </w:num>
  <w:num w:numId="8" w16cid:durableId="211112866">
    <w:abstractNumId w:val="32"/>
  </w:num>
  <w:num w:numId="9" w16cid:durableId="265431249">
    <w:abstractNumId w:val="24"/>
  </w:num>
  <w:num w:numId="10" w16cid:durableId="2074085427">
    <w:abstractNumId w:val="40"/>
  </w:num>
  <w:num w:numId="11" w16cid:durableId="896938372">
    <w:abstractNumId w:val="26"/>
  </w:num>
  <w:num w:numId="12" w16cid:durableId="208344217">
    <w:abstractNumId w:val="11"/>
  </w:num>
  <w:num w:numId="13" w16cid:durableId="1534612303">
    <w:abstractNumId w:val="31"/>
  </w:num>
  <w:num w:numId="14" w16cid:durableId="293214153">
    <w:abstractNumId w:val="27"/>
  </w:num>
  <w:num w:numId="15" w16cid:durableId="1651712517">
    <w:abstractNumId w:val="16"/>
  </w:num>
  <w:num w:numId="16" w16cid:durableId="1633320028">
    <w:abstractNumId w:val="33"/>
  </w:num>
  <w:num w:numId="17" w16cid:durableId="93284107">
    <w:abstractNumId w:val="29"/>
  </w:num>
  <w:num w:numId="18" w16cid:durableId="832452710">
    <w:abstractNumId w:val="22"/>
  </w:num>
  <w:num w:numId="19" w16cid:durableId="1321693791">
    <w:abstractNumId w:val="15"/>
  </w:num>
  <w:num w:numId="20" w16cid:durableId="146090049">
    <w:abstractNumId w:val="0"/>
  </w:num>
  <w:num w:numId="21" w16cid:durableId="1622878352">
    <w:abstractNumId w:val="1"/>
  </w:num>
  <w:num w:numId="22" w16cid:durableId="1407995996">
    <w:abstractNumId w:val="2"/>
  </w:num>
  <w:num w:numId="23" w16cid:durableId="1265458411">
    <w:abstractNumId w:val="3"/>
  </w:num>
  <w:num w:numId="24" w16cid:durableId="1774594947">
    <w:abstractNumId w:val="8"/>
  </w:num>
  <w:num w:numId="25" w16cid:durableId="421144479">
    <w:abstractNumId w:val="4"/>
  </w:num>
  <w:num w:numId="26" w16cid:durableId="63646577">
    <w:abstractNumId w:val="5"/>
  </w:num>
  <w:num w:numId="27" w16cid:durableId="433936923">
    <w:abstractNumId w:val="6"/>
  </w:num>
  <w:num w:numId="28" w16cid:durableId="555816680">
    <w:abstractNumId w:val="7"/>
  </w:num>
  <w:num w:numId="29" w16cid:durableId="594677798">
    <w:abstractNumId w:val="25"/>
  </w:num>
  <w:num w:numId="30" w16cid:durableId="271088226">
    <w:abstractNumId w:val="14"/>
  </w:num>
  <w:num w:numId="31" w16cid:durableId="1008823215">
    <w:abstractNumId w:val="17"/>
  </w:num>
  <w:num w:numId="32" w16cid:durableId="542716906">
    <w:abstractNumId w:val="30"/>
  </w:num>
  <w:num w:numId="33" w16cid:durableId="1429692603">
    <w:abstractNumId w:val="36"/>
  </w:num>
  <w:num w:numId="34" w16cid:durableId="971131710">
    <w:abstractNumId w:val="19"/>
  </w:num>
  <w:num w:numId="35" w16cid:durableId="232010938">
    <w:abstractNumId w:val="38"/>
  </w:num>
  <w:num w:numId="36" w16cid:durableId="2069104915">
    <w:abstractNumId w:val="39"/>
  </w:num>
  <w:num w:numId="37" w16cid:durableId="15878067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0017273">
    <w:abstractNumId w:val="12"/>
  </w:num>
  <w:num w:numId="39" w16cid:durableId="1596816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0633447">
    <w:abstractNumId w:val="12"/>
  </w:num>
  <w:num w:numId="41" w16cid:durableId="1182428602">
    <w:abstractNumId w:val="28"/>
  </w:num>
  <w:num w:numId="42" w16cid:durableId="2003118002">
    <w:abstractNumId w:val="18"/>
  </w:num>
  <w:num w:numId="43" w16cid:durableId="514226711">
    <w:abstractNumId w:val="24"/>
  </w:num>
  <w:num w:numId="44" w16cid:durableId="745765366">
    <w:abstractNumId w:val="39"/>
  </w:num>
  <w:num w:numId="45" w16cid:durableId="1871453212">
    <w:abstractNumId w:val="20"/>
  </w:num>
  <w:num w:numId="46" w16cid:durableId="535435676">
    <w:abstractNumId w:val="21"/>
  </w:num>
  <w:num w:numId="47" w16cid:durableId="14065397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EA"/>
    <w:rsid w:val="00031C86"/>
    <w:rsid w:val="0005147D"/>
    <w:rsid w:val="00060091"/>
    <w:rsid w:val="00061318"/>
    <w:rsid w:val="00062279"/>
    <w:rsid w:val="00067482"/>
    <w:rsid w:val="000703F2"/>
    <w:rsid w:val="000757D3"/>
    <w:rsid w:val="00082429"/>
    <w:rsid w:val="0008408D"/>
    <w:rsid w:val="00090D44"/>
    <w:rsid w:val="000913EF"/>
    <w:rsid w:val="00092323"/>
    <w:rsid w:val="00093580"/>
    <w:rsid w:val="000A03A7"/>
    <w:rsid w:val="000A06D7"/>
    <w:rsid w:val="000A162D"/>
    <w:rsid w:val="000B3510"/>
    <w:rsid w:val="000B6F97"/>
    <w:rsid w:val="000D3510"/>
    <w:rsid w:val="000F15CB"/>
    <w:rsid w:val="000F3EA4"/>
    <w:rsid w:val="00111697"/>
    <w:rsid w:val="00111E24"/>
    <w:rsid w:val="00114233"/>
    <w:rsid w:val="00117197"/>
    <w:rsid w:val="00131C8D"/>
    <w:rsid w:val="00133963"/>
    <w:rsid w:val="00135B68"/>
    <w:rsid w:val="0013701D"/>
    <w:rsid w:val="00140F16"/>
    <w:rsid w:val="00154F11"/>
    <w:rsid w:val="00163074"/>
    <w:rsid w:val="001653EC"/>
    <w:rsid w:val="00167922"/>
    <w:rsid w:val="001771CF"/>
    <w:rsid w:val="00186DC3"/>
    <w:rsid w:val="001965BC"/>
    <w:rsid w:val="001B2D60"/>
    <w:rsid w:val="001B48EE"/>
    <w:rsid w:val="001B6137"/>
    <w:rsid w:val="001C492A"/>
    <w:rsid w:val="002025A3"/>
    <w:rsid w:val="00217C23"/>
    <w:rsid w:val="00222BAB"/>
    <w:rsid w:val="00230014"/>
    <w:rsid w:val="00231E6A"/>
    <w:rsid w:val="002337F9"/>
    <w:rsid w:val="00242ABE"/>
    <w:rsid w:val="0024571C"/>
    <w:rsid w:val="0025079E"/>
    <w:rsid w:val="00255C7C"/>
    <w:rsid w:val="00264456"/>
    <w:rsid w:val="00267A66"/>
    <w:rsid w:val="00271309"/>
    <w:rsid w:val="00274B89"/>
    <w:rsid w:val="002809B0"/>
    <w:rsid w:val="00283F40"/>
    <w:rsid w:val="00284F10"/>
    <w:rsid w:val="00286DB1"/>
    <w:rsid w:val="002A25EA"/>
    <w:rsid w:val="002A3C73"/>
    <w:rsid w:val="002A59AA"/>
    <w:rsid w:val="002A6492"/>
    <w:rsid w:val="002A67AB"/>
    <w:rsid w:val="002A6B3F"/>
    <w:rsid w:val="002B0739"/>
    <w:rsid w:val="002B186D"/>
    <w:rsid w:val="002B36D2"/>
    <w:rsid w:val="002B585A"/>
    <w:rsid w:val="002C0DAE"/>
    <w:rsid w:val="002D00B2"/>
    <w:rsid w:val="002D14FD"/>
    <w:rsid w:val="002D6AA4"/>
    <w:rsid w:val="002D6C0C"/>
    <w:rsid w:val="002E3C86"/>
    <w:rsid w:val="002E420E"/>
    <w:rsid w:val="002E737D"/>
    <w:rsid w:val="002F710C"/>
    <w:rsid w:val="002F771D"/>
    <w:rsid w:val="00300A3D"/>
    <w:rsid w:val="0031241E"/>
    <w:rsid w:val="00314AF1"/>
    <w:rsid w:val="003308AC"/>
    <w:rsid w:val="00343526"/>
    <w:rsid w:val="00345962"/>
    <w:rsid w:val="00346506"/>
    <w:rsid w:val="00346B06"/>
    <w:rsid w:val="003545E2"/>
    <w:rsid w:val="0035634C"/>
    <w:rsid w:val="003603F6"/>
    <w:rsid w:val="00361E8B"/>
    <w:rsid w:val="0036230B"/>
    <w:rsid w:val="00371BA3"/>
    <w:rsid w:val="003730DD"/>
    <w:rsid w:val="00373B9D"/>
    <w:rsid w:val="003741B1"/>
    <w:rsid w:val="00396CC1"/>
    <w:rsid w:val="00397351"/>
    <w:rsid w:val="003A2D83"/>
    <w:rsid w:val="003B4616"/>
    <w:rsid w:val="003C02B4"/>
    <w:rsid w:val="003C2543"/>
    <w:rsid w:val="003C4108"/>
    <w:rsid w:val="003C7DA9"/>
    <w:rsid w:val="003F0626"/>
    <w:rsid w:val="003F72ED"/>
    <w:rsid w:val="00412D37"/>
    <w:rsid w:val="00413A48"/>
    <w:rsid w:val="00415C04"/>
    <w:rsid w:val="00417987"/>
    <w:rsid w:val="00425790"/>
    <w:rsid w:val="00442FE4"/>
    <w:rsid w:val="00445BD4"/>
    <w:rsid w:val="00446C8A"/>
    <w:rsid w:val="00447FF6"/>
    <w:rsid w:val="00460058"/>
    <w:rsid w:val="0046226B"/>
    <w:rsid w:val="00464BF8"/>
    <w:rsid w:val="004662BF"/>
    <w:rsid w:val="004861BE"/>
    <w:rsid w:val="00492DF1"/>
    <w:rsid w:val="00493D6C"/>
    <w:rsid w:val="004A3113"/>
    <w:rsid w:val="004A3556"/>
    <w:rsid w:val="004B25E7"/>
    <w:rsid w:val="004B53CE"/>
    <w:rsid w:val="004E0967"/>
    <w:rsid w:val="004F3D5A"/>
    <w:rsid w:val="004F42A3"/>
    <w:rsid w:val="004F66BE"/>
    <w:rsid w:val="00500712"/>
    <w:rsid w:val="0050351E"/>
    <w:rsid w:val="00505598"/>
    <w:rsid w:val="0050702A"/>
    <w:rsid w:val="00510A86"/>
    <w:rsid w:val="00512B01"/>
    <w:rsid w:val="00516ECB"/>
    <w:rsid w:val="005172C9"/>
    <w:rsid w:val="005206F6"/>
    <w:rsid w:val="00524964"/>
    <w:rsid w:val="005426CC"/>
    <w:rsid w:val="0055368D"/>
    <w:rsid w:val="005565C3"/>
    <w:rsid w:val="00556772"/>
    <w:rsid w:val="005649AF"/>
    <w:rsid w:val="00565791"/>
    <w:rsid w:val="00567E7E"/>
    <w:rsid w:val="00573225"/>
    <w:rsid w:val="00575BBC"/>
    <w:rsid w:val="00580409"/>
    <w:rsid w:val="00584A05"/>
    <w:rsid w:val="00585E14"/>
    <w:rsid w:val="00597CEB"/>
    <w:rsid w:val="005B16C7"/>
    <w:rsid w:val="005C0588"/>
    <w:rsid w:val="005C17A9"/>
    <w:rsid w:val="005C78AD"/>
    <w:rsid w:val="005D2A60"/>
    <w:rsid w:val="005D6B9A"/>
    <w:rsid w:val="005E4BC9"/>
    <w:rsid w:val="005F3A77"/>
    <w:rsid w:val="005F62D4"/>
    <w:rsid w:val="00605FDD"/>
    <w:rsid w:val="00606CC5"/>
    <w:rsid w:val="006161CB"/>
    <w:rsid w:val="0061796D"/>
    <w:rsid w:val="00617E3F"/>
    <w:rsid w:val="00625EF5"/>
    <w:rsid w:val="00627271"/>
    <w:rsid w:val="006460AF"/>
    <w:rsid w:val="00647252"/>
    <w:rsid w:val="00652CA4"/>
    <w:rsid w:val="00656DAC"/>
    <w:rsid w:val="006668A0"/>
    <w:rsid w:val="0067042E"/>
    <w:rsid w:val="00676AFB"/>
    <w:rsid w:val="0068313C"/>
    <w:rsid w:val="006857B7"/>
    <w:rsid w:val="006857E8"/>
    <w:rsid w:val="00691061"/>
    <w:rsid w:val="006913DA"/>
    <w:rsid w:val="006951EA"/>
    <w:rsid w:val="006A03C1"/>
    <w:rsid w:val="006A6082"/>
    <w:rsid w:val="006A793F"/>
    <w:rsid w:val="006C1DC2"/>
    <w:rsid w:val="006C2D5A"/>
    <w:rsid w:val="006C59B3"/>
    <w:rsid w:val="006D60FF"/>
    <w:rsid w:val="006E5446"/>
    <w:rsid w:val="006F1F32"/>
    <w:rsid w:val="006F6227"/>
    <w:rsid w:val="00716364"/>
    <w:rsid w:val="00717275"/>
    <w:rsid w:val="0072491D"/>
    <w:rsid w:val="00725F0E"/>
    <w:rsid w:val="00733BD3"/>
    <w:rsid w:val="0074285C"/>
    <w:rsid w:val="0075551F"/>
    <w:rsid w:val="0077263B"/>
    <w:rsid w:val="00780FBA"/>
    <w:rsid w:val="00783D62"/>
    <w:rsid w:val="00784DA8"/>
    <w:rsid w:val="007960A3"/>
    <w:rsid w:val="0079697A"/>
    <w:rsid w:val="007A07DB"/>
    <w:rsid w:val="007A0D1D"/>
    <w:rsid w:val="007B3BA7"/>
    <w:rsid w:val="007C1488"/>
    <w:rsid w:val="007C2E9D"/>
    <w:rsid w:val="007D0BC4"/>
    <w:rsid w:val="007D417F"/>
    <w:rsid w:val="007D5754"/>
    <w:rsid w:val="007D5825"/>
    <w:rsid w:val="007E2869"/>
    <w:rsid w:val="007E782A"/>
    <w:rsid w:val="007F6B98"/>
    <w:rsid w:val="008009A4"/>
    <w:rsid w:val="008106EE"/>
    <w:rsid w:val="00831582"/>
    <w:rsid w:val="00831D27"/>
    <w:rsid w:val="00841D72"/>
    <w:rsid w:val="00844200"/>
    <w:rsid w:val="008515A6"/>
    <w:rsid w:val="00851DCA"/>
    <w:rsid w:val="0085481B"/>
    <w:rsid w:val="00856BDC"/>
    <w:rsid w:val="008635BB"/>
    <w:rsid w:val="00867E79"/>
    <w:rsid w:val="00877E91"/>
    <w:rsid w:val="00891634"/>
    <w:rsid w:val="00892F41"/>
    <w:rsid w:val="008A2985"/>
    <w:rsid w:val="008A33DC"/>
    <w:rsid w:val="008A7556"/>
    <w:rsid w:val="008B2065"/>
    <w:rsid w:val="008B4872"/>
    <w:rsid w:val="008C4AE0"/>
    <w:rsid w:val="008D791A"/>
    <w:rsid w:val="008E6D70"/>
    <w:rsid w:val="008F1214"/>
    <w:rsid w:val="008F1424"/>
    <w:rsid w:val="00902764"/>
    <w:rsid w:val="009104D6"/>
    <w:rsid w:val="00915494"/>
    <w:rsid w:val="009158A1"/>
    <w:rsid w:val="00916E50"/>
    <w:rsid w:val="00936665"/>
    <w:rsid w:val="009557E6"/>
    <w:rsid w:val="00962126"/>
    <w:rsid w:val="00963ABA"/>
    <w:rsid w:val="0096539B"/>
    <w:rsid w:val="009708AE"/>
    <w:rsid w:val="00982801"/>
    <w:rsid w:val="00987146"/>
    <w:rsid w:val="00990A43"/>
    <w:rsid w:val="00992FB3"/>
    <w:rsid w:val="009A520F"/>
    <w:rsid w:val="009A6909"/>
    <w:rsid w:val="009C484E"/>
    <w:rsid w:val="009D2DAD"/>
    <w:rsid w:val="009F0B56"/>
    <w:rsid w:val="009F26BF"/>
    <w:rsid w:val="009F2DF2"/>
    <w:rsid w:val="00A0158B"/>
    <w:rsid w:val="00A019BA"/>
    <w:rsid w:val="00A057C3"/>
    <w:rsid w:val="00A12EF5"/>
    <w:rsid w:val="00A14FB4"/>
    <w:rsid w:val="00A1625F"/>
    <w:rsid w:val="00A33006"/>
    <w:rsid w:val="00A37007"/>
    <w:rsid w:val="00A43204"/>
    <w:rsid w:val="00A43A09"/>
    <w:rsid w:val="00A55142"/>
    <w:rsid w:val="00A62964"/>
    <w:rsid w:val="00A7159C"/>
    <w:rsid w:val="00A810B4"/>
    <w:rsid w:val="00A82939"/>
    <w:rsid w:val="00A872EF"/>
    <w:rsid w:val="00A90986"/>
    <w:rsid w:val="00A9200A"/>
    <w:rsid w:val="00AA01CD"/>
    <w:rsid w:val="00AA21EB"/>
    <w:rsid w:val="00AA2F2D"/>
    <w:rsid w:val="00AA7A03"/>
    <w:rsid w:val="00AB762F"/>
    <w:rsid w:val="00AD5F18"/>
    <w:rsid w:val="00AE39D9"/>
    <w:rsid w:val="00AF1AED"/>
    <w:rsid w:val="00AF66F5"/>
    <w:rsid w:val="00AF74AA"/>
    <w:rsid w:val="00B2604B"/>
    <w:rsid w:val="00B33882"/>
    <w:rsid w:val="00B34CE0"/>
    <w:rsid w:val="00B35980"/>
    <w:rsid w:val="00B36999"/>
    <w:rsid w:val="00B43695"/>
    <w:rsid w:val="00B46CBD"/>
    <w:rsid w:val="00B5042E"/>
    <w:rsid w:val="00B55226"/>
    <w:rsid w:val="00B60185"/>
    <w:rsid w:val="00B609C9"/>
    <w:rsid w:val="00B627C0"/>
    <w:rsid w:val="00B75FE2"/>
    <w:rsid w:val="00B85F71"/>
    <w:rsid w:val="00B86EF3"/>
    <w:rsid w:val="00BA56EF"/>
    <w:rsid w:val="00BA6575"/>
    <w:rsid w:val="00BB550F"/>
    <w:rsid w:val="00BC1117"/>
    <w:rsid w:val="00BC4DE5"/>
    <w:rsid w:val="00BC4EFD"/>
    <w:rsid w:val="00BD78E8"/>
    <w:rsid w:val="00BF3BD7"/>
    <w:rsid w:val="00BF6EE9"/>
    <w:rsid w:val="00C02A01"/>
    <w:rsid w:val="00C02A78"/>
    <w:rsid w:val="00C1008D"/>
    <w:rsid w:val="00C1065B"/>
    <w:rsid w:val="00C20842"/>
    <w:rsid w:val="00C25461"/>
    <w:rsid w:val="00C43455"/>
    <w:rsid w:val="00C453F3"/>
    <w:rsid w:val="00C4629C"/>
    <w:rsid w:val="00C53638"/>
    <w:rsid w:val="00C618A6"/>
    <w:rsid w:val="00C650B4"/>
    <w:rsid w:val="00C677DB"/>
    <w:rsid w:val="00C77837"/>
    <w:rsid w:val="00C82A03"/>
    <w:rsid w:val="00C9252A"/>
    <w:rsid w:val="00CA1E07"/>
    <w:rsid w:val="00CB5F33"/>
    <w:rsid w:val="00CB6E2A"/>
    <w:rsid w:val="00CC3A73"/>
    <w:rsid w:val="00CD6CB3"/>
    <w:rsid w:val="00CE1658"/>
    <w:rsid w:val="00CE45F7"/>
    <w:rsid w:val="00CE531F"/>
    <w:rsid w:val="00CF276D"/>
    <w:rsid w:val="00D027AB"/>
    <w:rsid w:val="00D02E65"/>
    <w:rsid w:val="00D039D5"/>
    <w:rsid w:val="00D16237"/>
    <w:rsid w:val="00D20821"/>
    <w:rsid w:val="00D20DFB"/>
    <w:rsid w:val="00D3121D"/>
    <w:rsid w:val="00D51AEE"/>
    <w:rsid w:val="00D607E3"/>
    <w:rsid w:val="00D614BD"/>
    <w:rsid w:val="00D76704"/>
    <w:rsid w:val="00D829FD"/>
    <w:rsid w:val="00D90DE0"/>
    <w:rsid w:val="00DA529B"/>
    <w:rsid w:val="00DA75F1"/>
    <w:rsid w:val="00DB008C"/>
    <w:rsid w:val="00DB705A"/>
    <w:rsid w:val="00DC3570"/>
    <w:rsid w:val="00DC4D0A"/>
    <w:rsid w:val="00DC7BA2"/>
    <w:rsid w:val="00DD76B1"/>
    <w:rsid w:val="00DE0A46"/>
    <w:rsid w:val="00DE22BF"/>
    <w:rsid w:val="00DE5AEC"/>
    <w:rsid w:val="00DE64B2"/>
    <w:rsid w:val="00DF3042"/>
    <w:rsid w:val="00DF57EC"/>
    <w:rsid w:val="00DF7581"/>
    <w:rsid w:val="00E00F5F"/>
    <w:rsid w:val="00E03CCC"/>
    <w:rsid w:val="00E2572C"/>
    <w:rsid w:val="00E30AFE"/>
    <w:rsid w:val="00E34475"/>
    <w:rsid w:val="00E362A1"/>
    <w:rsid w:val="00E50F81"/>
    <w:rsid w:val="00E606EC"/>
    <w:rsid w:val="00E62118"/>
    <w:rsid w:val="00E65F48"/>
    <w:rsid w:val="00E66938"/>
    <w:rsid w:val="00E67065"/>
    <w:rsid w:val="00E73C46"/>
    <w:rsid w:val="00E85936"/>
    <w:rsid w:val="00E9092F"/>
    <w:rsid w:val="00EA2AC5"/>
    <w:rsid w:val="00EA2E9C"/>
    <w:rsid w:val="00EA7198"/>
    <w:rsid w:val="00EB556F"/>
    <w:rsid w:val="00EB58F5"/>
    <w:rsid w:val="00EB6B63"/>
    <w:rsid w:val="00EC22BE"/>
    <w:rsid w:val="00ED2D3F"/>
    <w:rsid w:val="00ED3F5A"/>
    <w:rsid w:val="00EE3E0A"/>
    <w:rsid w:val="00EF176F"/>
    <w:rsid w:val="00EF1A1E"/>
    <w:rsid w:val="00EF2F3B"/>
    <w:rsid w:val="00F00197"/>
    <w:rsid w:val="00F111AF"/>
    <w:rsid w:val="00F11217"/>
    <w:rsid w:val="00F12DC9"/>
    <w:rsid w:val="00F153CA"/>
    <w:rsid w:val="00F34349"/>
    <w:rsid w:val="00F40F21"/>
    <w:rsid w:val="00F52620"/>
    <w:rsid w:val="00F53EF9"/>
    <w:rsid w:val="00F75732"/>
    <w:rsid w:val="00F8582B"/>
    <w:rsid w:val="00F87DDA"/>
    <w:rsid w:val="00F94D01"/>
    <w:rsid w:val="00F95742"/>
    <w:rsid w:val="00FB290E"/>
    <w:rsid w:val="00FB3345"/>
    <w:rsid w:val="00FB76BD"/>
    <w:rsid w:val="00FE03DD"/>
    <w:rsid w:val="00FE0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CAED5"/>
  <w15:chartTrackingRefBased/>
  <w15:docId w15:val="{6B5C283A-0B3D-4AAF-9C3C-B2FDDCF3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B53CE"/>
    <w:pPr>
      <w:spacing w:after="120" w:line="264" w:lineRule="auto"/>
      <w:jc w:val="both"/>
    </w:pPr>
    <w:rPr>
      <w:rFonts w:ascii="Arial" w:hAnsi="Arial" w:cs="Arial"/>
      <w:noProof/>
      <w:sz w:val="22"/>
      <w:szCs w:val="22"/>
      <w:lang w:val="en-GB" w:eastAsia="en-US"/>
    </w:rPr>
  </w:style>
  <w:style w:type="paragraph" w:styleId="Nadpis1">
    <w:name w:val="heading 1"/>
    <w:basedOn w:val="Normln"/>
    <w:next w:val="Normln"/>
    <w:link w:val="Nadpis1Char"/>
    <w:uiPriority w:val="9"/>
    <w:rsid w:val="001B48EE"/>
    <w:pPr>
      <w:keepNext/>
      <w:keepLines/>
      <w:numPr>
        <w:numId w:val="3"/>
      </w:numPr>
      <w:spacing w:before="240"/>
      <w:outlineLvl w:val="0"/>
    </w:pPr>
    <w:rPr>
      <w:rFonts w:ascii="Calibri Light" w:eastAsia="Times New Roman" w:hAnsi="Calibri Light" w:cs="Times New Roman"/>
      <w:color w:val="2F5496"/>
      <w:sz w:val="32"/>
      <w:szCs w:val="32"/>
    </w:rPr>
  </w:style>
  <w:style w:type="paragraph" w:styleId="Nadpis2">
    <w:name w:val="heading 2"/>
    <w:basedOn w:val="Normln"/>
    <w:next w:val="Normln"/>
    <w:link w:val="Nadpis2Char"/>
    <w:uiPriority w:val="9"/>
    <w:semiHidden/>
    <w:unhideWhenUsed/>
    <w:qFormat/>
    <w:rsid w:val="001B48EE"/>
    <w:pPr>
      <w:keepNext/>
      <w:keepLines/>
      <w:numPr>
        <w:ilvl w:val="1"/>
        <w:numId w:val="3"/>
      </w:numPr>
      <w:spacing w:before="40"/>
      <w:outlineLvl w:val="1"/>
    </w:pPr>
    <w:rPr>
      <w:rFonts w:ascii="Calibri Light" w:eastAsia="Times New Roman" w:hAnsi="Calibri Light" w:cs="Times New Roman"/>
      <w:color w:val="2F5496"/>
      <w:sz w:val="26"/>
      <w:szCs w:val="26"/>
    </w:rPr>
  </w:style>
  <w:style w:type="paragraph" w:styleId="Nadpis3">
    <w:name w:val="heading 3"/>
    <w:basedOn w:val="Normln"/>
    <w:next w:val="Normln"/>
    <w:link w:val="Nadpis3Char"/>
    <w:uiPriority w:val="9"/>
    <w:semiHidden/>
    <w:unhideWhenUsed/>
    <w:qFormat/>
    <w:rsid w:val="001B48EE"/>
    <w:pPr>
      <w:keepNext/>
      <w:keepLines/>
      <w:numPr>
        <w:ilvl w:val="2"/>
        <w:numId w:val="3"/>
      </w:numPr>
      <w:spacing w:before="40"/>
      <w:outlineLvl w:val="2"/>
    </w:pPr>
    <w:rPr>
      <w:rFonts w:ascii="Calibri Light" w:eastAsia="Times New Roman" w:hAnsi="Calibri Light" w:cs="Times New Roman"/>
      <w:color w:val="1F3763"/>
    </w:rPr>
  </w:style>
  <w:style w:type="paragraph" w:styleId="Nadpis4">
    <w:name w:val="heading 4"/>
    <w:basedOn w:val="Normln"/>
    <w:next w:val="Normln"/>
    <w:link w:val="Nadpis4Char"/>
    <w:uiPriority w:val="9"/>
    <w:unhideWhenUsed/>
    <w:rsid w:val="001B48EE"/>
    <w:pPr>
      <w:keepNext/>
      <w:keepLines/>
      <w:numPr>
        <w:ilvl w:val="3"/>
        <w:numId w:val="3"/>
      </w:numPr>
      <w:spacing w:before="40"/>
      <w:outlineLvl w:val="3"/>
    </w:pPr>
    <w:rPr>
      <w:rFonts w:ascii="Calibri Light" w:eastAsia="Times New Roman" w:hAnsi="Calibri Light" w:cs="Times New Roman"/>
      <w:i/>
      <w:iCs/>
      <w:color w:val="2F5496"/>
    </w:rPr>
  </w:style>
  <w:style w:type="paragraph" w:styleId="Nadpis5">
    <w:name w:val="heading 5"/>
    <w:basedOn w:val="Normln"/>
    <w:next w:val="Normln"/>
    <w:link w:val="Nadpis5Char"/>
    <w:uiPriority w:val="9"/>
    <w:semiHidden/>
    <w:unhideWhenUsed/>
    <w:qFormat/>
    <w:rsid w:val="001B48EE"/>
    <w:pPr>
      <w:keepNext/>
      <w:keepLines/>
      <w:numPr>
        <w:ilvl w:val="4"/>
        <w:numId w:val="3"/>
      </w:numPr>
      <w:spacing w:before="40"/>
      <w:outlineLvl w:val="4"/>
    </w:pPr>
    <w:rPr>
      <w:rFonts w:ascii="Calibri Light" w:eastAsia="Times New Roman" w:hAnsi="Calibri Light" w:cs="Times New Roman"/>
      <w:color w:val="2F5496"/>
    </w:rPr>
  </w:style>
  <w:style w:type="paragraph" w:styleId="Nadpis6">
    <w:name w:val="heading 6"/>
    <w:basedOn w:val="Normln"/>
    <w:next w:val="Normln"/>
    <w:link w:val="Nadpis6Char"/>
    <w:uiPriority w:val="9"/>
    <w:semiHidden/>
    <w:unhideWhenUsed/>
    <w:qFormat/>
    <w:rsid w:val="001B48EE"/>
    <w:pPr>
      <w:keepNext/>
      <w:keepLines/>
      <w:numPr>
        <w:ilvl w:val="5"/>
        <w:numId w:val="3"/>
      </w:numPr>
      <w:spacing w:before="40"/>
      <w:outlineLvl w:val="5"/>
    </w:pPr>
    <w:rPr>
      <w:rFonts w:ascii="Calibri Light" w:eastAsia="Times New Roman" w:hAnsi="Calibri Light" w:cs="Times New Roman"/>
      <w:color w:val="1F3763"/>
    </w:rPr>
  </w:style>
  <w:style w:type="paragraph" w:styleId="Nadpis7">
    <w:name w:val="heading 7"/>
    <w:basedOn w:val="Normln"/>
    <w:next w:val="Normln"/>
    <w:link w:val="Nadpis7Char"/>
    <w:uiPriority w:val="9"/>
    <w:semiHidden/>
    <w:unhideWhenUsed/>
    <w:qFormat/>
    <w:rsid w:val="001B48EE"/>
    <w:pPr>
      <w:keepNext/>
      <w:keepLines/>
      <w:numPr>
        <w:ilvl w:val="6"/>
        <w:numId w:val="3"/>
      </w:numPr>
      <w:spacing w:before="40"/>
      <w:outlineLvl w:val="6"/>
    </w:pPr>
    <w:rPr>
      <w:rFonts w:ascii="Calibri Light" w:eastAsia="Times New Roman" w:hAnsi="Calibri Light" w:cs="Times New Roman"/>
      <w:i/>
      <w:iCs/>
      <w:color w:val="1F3763"/>
    </w:rPr>
  </w:style>
  <w:style w:type="paragraph" w:styleId="Nadpis8">
    <w:name w:val="heading 8"/>
    <w:basedOn w:val="Normln"/>
    <w:next w:val="Normln"/>
    <w:link w:val="Nadpis8Char"/>
    <w:uiPriority w:val="9"/>
    <w:semiHidden/>
    <w:unhideWhenUsed/>
    <w:qFormat/>
    <w:rsid w:val="001B48EE"/>
    <w:pPr>
      <w:keepNext/>
      <w:keepLines/>
      <w:numPr>
        <w:ilvl w:val="7"/>
        <w:numId w:val="3"/>
      </w:numPr>
      <w:spacing w:before="40"/>
      <w:outlineLvl w:val="7"/>
    </w:pPr>
    <w:rPr>
      <w:rFonts w:ascii="Calibri Light" w:eastAsia="Times New Roman" w:hAnsi="Calibri Light" w:cs="Times New Roman"/>
      <w:color w:val="272727"/>
      <w:sz w:val="21"/>
      <w:szCs w:val="21"/>
    </w:rPr>
  </w:style>
  <w:style w:type="paragraph" w:styleId="Nadpis9">
    <w:name w:val="heading 9"/>
    <w:basedOn w:val="Normln"/>
    <w:next w:val="Normln"/>
    <w:link w:val="Nadpis9Char"/>
    <w:uiPriority w:val="9"/>
    <w:semiHidden/>
    <w:unhideWhenUsed/>
    <w:qFormat/>
    <w:rsid w:val="001B48EE"/>
    <w:pPr>
      <w:keepNext/>
      <w:keepLines/>
      <w:numPr>
        <w:ilvl w:val="8"/>
        <w:numId w:val="3"/>
      </w:numPr>
      <w:spacing w:before="40"/>
      <w:outlineLvl w:val="8"/>
    </w:pPr>
    <w:rPr>
      <w:rFonts w:ascii="Calibri Light" w:eastAsia="Times New Roman" w:hAnsi="Calibri Light"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istLegal1">
    <w:name w:val="List Legal 1"/>
    <w:basedOn w:val="Normln"/>
    <w:rsid w:val="005206F6"/>
    <w:pPr>
      <w:numPr>
        <w:numId w:val="1"/>
      </w:numPr>
    </w:pPr>
  </w:style>
  <w:style w:type="paragraph" w:customStyle="1" w:styleId="ListLegal2">
    <w:name w:val="List Legal 2"/>
    <w:basedOn w:val="Normln"/>
    <w:rsid w:val="001B48EE"/>
    <w:pPr>
      <w:numPr>
        <w:numId w:val="2"/>
      </w:numPr>
    </w:pPr>
  </w:style>
  <w:style w:type="character" w:customStyle="1" w:styleId="Nadpis1Char">
    <w:name w:val="Nadpis 1 Char"/>
    <w:link w:val="Nadpis1"/>
    <w:uiPriority w:val="9"/>
    <w:rsid w:val="001B48EE"/>
    <w:rPr>
      <w:rFonts w:ascii="Calibri Light" w:eastAsia="Times New Roman" w:hAnsi="Calibri Light"/>
      <w:noProof/>
      <w:color w:val="2F5496"/>
      <w:sz w:val="32"/>
      <w:szCs w:val="32"/>
      <w:lang w:val="en-GB" w:eastAsia="en-US"/>
    </w:rPr>
  </w:style>
  <w:style w:type="character" w:customStyle="1" w:styleId="Nadpis2Char">
    <w:name w:val="Nadpis 2 Char"/>
    <w:link w:val="Nadpis2"/>
    <w:uiPriority w:val="9"/>
    <w:semiHidden/>
    <w:rsid w:val="001B48EE"/>
    <w:rPr>
      <w:rFonts w:ascii="Calibri Light" w:eastAsia="Times New Roman" w:hAnsi="Calibri Light"/>
      <w:noProof/>
      <w:color w:val="2F5496"/>
      <w:sz w:val="26"/>
      <w:szCs w:val="26"/>
      <w:lang w:val="en-GB" w:eastAsia="en-US"/>
    </w:rPr>
  </w:style>
  <w:style w:type="character" w:customStyle="1" w:styleId="Nadpis3Char">
    <w:name w:val="Nadpis 3 Char"/>
    <w:link w:val="Nadpis3"/>
    <w:uiPriority w:val="9"/>
    <w:semiHidden/>
    <w:rsid w:val="001B48EE"/>
    <w:rPr>
      <w:rFonts w:ascii="Calibri Light" w:eastAsia="Times New Roman" w:hAnsi="Calibri Light"/>
      <w:noProof/>
      <w:color w:val="1F3763"/>
      <w:sz w:val="22"/>
      <w:szCs w:val="22"/>
      <w:lang w:val="en-GB" w:eastAsia="en-US"/>
    </w:rPr>
  </w:style>
  <w:style w:type="character" w:customStyle="1" w:styleId="Nadpis4Char">
    <w:name w:val="Nadpis 4 Char"/>
    <w:link w:val="Nadpis4"/>
    <w:uiPriority w:val="9"/>
    <w:rsid w:val="001B48EE"/>
    <w:rPr>
      <w:rFonts w:ascii="Calibri Light" w:eastAsia="Times New Roman" w:hAnsi="Calibri Light"/>
      <w:i/>
      <w:iCs/>
      <w:noProof/>
      <w:color w:val="2F5496"/>
      <w:sz w:val="22"/>
      <w:szCs w:val="22"/>
      <w:lang w:val="en-GB" w:eastAsia="en-US"/>
    </w:rPr>
  </w:style>
  <w:style w:type="character" w:customStyle="1" w:styleId="Nadpis5Char">
    <w:name w:val="Nadpis 5 Char"/>
    <w:link w:val="Nadpis5"/>
    <w:uiPriority w:val="9"/>
    <w:semiHidden/>
    <w:rsid w:val="001B48EE"/>
    <w:rPr>
      <w:rFonts w:ascii="Calibri Light" w:eastAsia="Times New Roman" w:hAnsi="Calibri Light"/>
      <w:noProof/>
      <w:color w:val="2F5496"/>
      <w:sz w:val="22"/>
      <w:szCs w:val="22"/>
      <w:lang w:val="en-GB" w:eastAsia="en-US"/>
    </w:rPr>
  </w:style>
  <w:style w:type="character" w:customStyle="1" w:styleId="Nadpis6Char">
    <w:name w:val="Nadpis 6 Char"/>
    <w:link w:val="Nadpis6"/>
    <w:uiPriority w:val="9"/>
    <w:semiHidden/>
    <w:rsid w:val="001B48EE"/>
    <w:rPr>
      <w:rFonts w:ascii="Calibri Light" w:eastAsia="Times New Roman" w:hAnsi="Calibri Light"/>
      <w:noProof/>
      <w:color w:val="1F3763"/>
      <w:sz w:val="22"/>
      <w:szCs w:val="22"/>
      <w:lang w:val="en-GB" w:eastAsia="en-US"/>
    </w:rPr>
  </w:style>
  <w:style w:type="character" w:customStyle="1" w:styleId="Nadpis7Char">
    <w:name w:val="Nadpis 7 Char"/>
    <w:link w:val="Nadpis7"/>
    <w:uiPriority w:val="9"/>
    <w:semiHidden/>
    <w:rsid w:val="001B48EE"/>
    <w:rPr>
      <w:rFonts w:ascii="Calibri Light" w:eastAsia="Times New Roman" w:hAnsi="Calibri Light"/>
      <w:i/>
      <w:iCs/>
      <w:noProof/>
      <w:color w:val="1F3763"/>
      <w:sz w:val="22"/>
      <w:szCs w:val="22"/>
      <w:lang w:val="en-GB" w:eastAsia="en-US"/>
    </w:rPr>
  </w:style>
  <w:style w:type="character" w:customStyle="1" w:styleId="Nadpis8Char">
    <w:name w:val="Nadpis 8 Char"/>
    <w:link w:val="Nadpis8"/>
    <w:uiPriority w:val="9"/>
    <w:semiHidden/>
    <w:rsid w:val="001B48EE"/>
    <w:rPr>
      <w:rFonts w:ascii="Calibri Light" w:eastAsia="Times New Roman" w:hAnsi="Calibri Light"/>
      <w:noProof/>
      <w:color w:val="272727"/>
      <w:sz w:val="21"/>
      <w:szCs w:val="21"/>
      <w:lang w:val="en-GB" w:eastAsia="en-US"/>
    </w:rPr>
  </w:style>
  <w:style w:type="character" w:customStyle="1" w:styleId="Nadpis9Char">
    <w:name w:val="Nadpis 9 Char"/>
    <w:link w:val="Nadpis9"/>
    <w:uiPriority w:val="9"/>
    <w:semiHidden/>
    <w:rsid w:val="001B48EE"/>
    <w:rPr>
      <w:rFonts w:ascii="Calibri Light" w:eastAsia="Times New Roman" w:hAnsi="Calibri Light"/>
      <w:i/>
      <w:iCs/>
      <w:noProof/>
      <w:color w:val="272727"/>
      <w:sz w:val="21"/>
      <w:szCs w:val="21"/>
      <w:lang w:val="en-GB" w:eastAsia="en-US"/>
    </w:rPr>
  </w:style>
  <w:style w:type="paragraph" w:customStyle="1" w:styleId="X1">
    <w:name w:val="X1"/>
    <w:basedOn w:val="Odstavecseseznamem"/>
    <w:next w:val="Normln"/>
    <w:link w:val="X1Char"/>
    <w:qFormat/>
    <w:rsid w:val="009158A1"/>
    <w:pPr>
      <w:numPr>
        <w:numId w:val="9"/>
      </w:numPr>
      <w:spacing w:before="200" w:after="80"/>
      <w:contextualSpacing w:val="0"/>
    </w:pPr>
    <w:rPr>
      <w:b/>
      <w:caps/>
      <w:noProof w:val="0"/>
      <w:sz w:val="20"/>
      <w:szCs w:val="20"/>
    </w:rPr>
  </w:style>
  <w:style w:type="paragraph" w:styleId="Zkladntext">
    <w:name w:val="Body Text"/>
    <w:basedOn w:val="Normln"/>
    <w:link w:val="ZkladntextChar"/>
    <w:uiPriority w:val="99"/>
    <w:unhideWhenUsed/>
    <w:rsid w:val="001B2D60"/>
    <w:pPr>
      <w:ind w:left="709"/>
    </w:pPr>
  </w:style>
  <w:style w:type="character" w:customStyle="1" w:styleId="ZkladntextChar">
    <w:name w:val="Základní text Char"/>
    <w:link w:val="Zkladntext"/>
    <w:uiPriority w:val="99"/>
    <w:rsid w:val="001B2D60"/>
    <w:rPr>
      <w:rFonts w:ascii="Arial" w:hAnsi="Arial" w:cs="Arial"/>
      <w:noProof/>
      <w:sz w:val="22"/>
      <w:szCs w:val="22"/>
    </w:rPr>
  </w:style>
  <w:style w:type="table" w:styleId="Mkatabulky">
    <w:name w:val="Table Grid"/>
    <w:basedOn w:val="Normlntabulka"/>
    <w:rsid w:val="00AF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13701D"/>
    <w:rPr>
      <w:rFonts w:ascii="Times New Roman" w:hAnsi="Times New Roman" w:cs="Times New Roman"/>
    </w:rPr>
  </w:style>
  <w:style w:type="paragraph" w:customStyle="1" w:styleId="X2">
    <w:name w:val="X2"/>
    <w:basedOn w:val="X1"/>
    <w:link w:val="X2Char"/>
    <w:qFormat/>
    <w:rsid w:val="009158A1"/>
    <w:pPr>
      <w:numPr>
        <w:ilvl w:val="1"/>
      </w:numPr>
      <w:spacing w:before="0" w:after="120"/>
    </w:pPr>
    <w:rPr>
      <w:b w:val="0"/>
      <w:caps w:val="0"/>
      <w:sz w:val="22"/>
      <w:szCs w:val="22"/>
    </w:rPr>
  </w:style>
  <w:style w:type="paragraph" w:styleId="Zkladntext2">
    <w:name w:val="Body Text 2"/>
    <w:basedOn w:val="Zkladntext"/>
    <w:link w:val="Zkladntext2Char"/>
    <w:uiPriority w:val="99"/>
    <w:unhideWhenUsed/>
    <w:rsid w:val="001B2D60"/>
    <w:pPr>
      <w:ind w:left="1560"/>
    </w:pPr>
    <w:rPr>
      <w:lang w:eastAsia="en-GB"/>
    </w:rPr>
  </w:style>
  <w:style w:type="character" w:customStyle="1" w:styleId="Zkladntext2Char">
    <w:name w:val="Základní text 2 Char"/>
    <w:link w:val="Zkladntext2"/>
    <w:uiPriority w:val="99"/>
    <w:rsid w:val="001B2D60"/>
    <w:rPr>
      <w:rFonts w:ascii="Arial" w:hAnsi="Arial" w:cs="Arial"/>
      <w:sz w:val="22"/>
      <w:szCs w:val="22"/>
      <w:lang w:eastAsia="en-GB"/>
    </w:rPr>
  </w:style>
  <w:style w:type="paragraph" w:customStyle="1" w:styleId="CZ-ENBullet">
    <w:name w:val="CZ-EN Bullet"/>
    <w:rsid w:val="00FB290E"/>
    <w:pPr>
      <w:numPr>
        <w:numId w:val="42"/>
      </w:numPr>
      <w:spacing w:after="120" w:line="264" w:lineRule="auto"/>
      <w:jc w:val="both"/>
    </w:pPr>
    <w:rPr>
      <w:rFonts w:ascii="Arial" w:hAnsi="Arial" w:cs="Arial"/>
      <w:noProof/>
      <w:sz w:val="22"/>
      <w:szCs w:val="22"/>
      <w:lang w:val="en-GB" w:eastAsia="en-US"/>
    </w:rPr>
  </w:style>
  <w:style w:type="paragraph" w:customStyle="1" w:styleId="Heading">
    <w:name w:val="Heading"/>
    <w:basedOn w:val="Normln"/>
    <w:rsid w:val="005206F6"/>
    <w:pPr>
      <w:jc w:val="center"/>
    </w:pPr>
    <w:rPr>
      <w:b/>
      <w:bCs/>
    </w:rPr>
  </w:style>
  <w:style w:type="paragraph" w:styleId="Zhlav">
    <w:name w:val="header"/>
    <w:basedOn w:val="Normln"/>
    <w:link w:val="ZhlavChar"/>
    <w:uiPriority w:val="99"/>
    <w:unhideWhenUsed/>
    <w:rsid w:val="008B4872"/>
    <w:pPr>
      <w:tabs>
        <w:tab w:val="center" w:pos="4536"/>
        <w:tab w:val="right" w:pos="9072"/>
      </w:tabs>
    </w:pPr>
  </w:style>
  <w:style w:type="numbering" w:customStyle="1" w:styleId="CurrentList1">
    <w:name w:val="Current List1"/>
    <w:uiPriority w:val="99"/>
    <w:rsid w:val="00093580"/>
    <w:pPr>
      <w:numPr>
        <w:numId w:val="4"/>
      </w:numPr>
    </w:pPr>
  </w:style>
  <w:style w:type="character" w:customStyle="1" w:styleId="ZhlavChar">
    <w:name w:val="Záhlaví Char"/>
    <w:basedOn w:val="Standardnpsmoodstavce"/>
    <w:link w:val="Zhlav"/>
    <w:uiPriority w:val="99"/>
    <w:rsid w:val="008B4872"/>
  </w:style>
  <w:style w:type="paragraph" w:styleId="Zpat">
    <w:name w:val="footer"/>
    <w:link w:val="ZpatChar"/>
    <w:uiPriority w:val="99"/>
    <w:unhideWhenUsed/>
    <w:rsid w:val="000A03A7"/>
    <w:rPr>
      <w:rFonts w:ascii="Arial" w:hAnsi="Arial" w:cs="Arial"/>
      <w:noProof/>
      <w:szCs w:val="22"/>
      <w:lang w:val="en-GB" w:eastAsia="en-US"/>
    </w:rPr>
  </w:style>
  <w:style w:type="character" w:customStyle="1" w:styleId="ZpatChar">
    <w:name w:val="Zápatí Char"/>
    <w:basedOn w:val="Standardnpsmoodstavce"/>
    <w:link w:val="Zpat"/>
    <w:uiPriority w:val="99"/>
    <w:rsid w:val="000A03A7"/>
    <w:rPr>
      <w:rFonts w:ascii="Arial" w:hAnsi="Arial" w:cs="Arial"/>
      <w:noProof/>
      <w:szCs w:val="22"/>
      <w:lang w:val="en-GB" w:eastAsia="en-US"/>
    </w:rPr>
  </w:style>
  <w:style w:type="character" w:styleId="slostrnky">
    <w:name w:val="page number"/>
    <w:basedOn w:val="Standardnpsmoodstavce"/>
    <w:uiPriority w:val="99"/>
    <w:semiHidden/>
    <w:unhideWhenUsed/>
    <w:rsid w:val="00F75732"/>
  </w:style>
  <w:style w:type="paragraph" w:styleId="Nadpisobsahu">
    <w:name w:val="TOC Heading"/>
    <w:basedOn w:val="Nadpis1"/>
    <w:next w:val="Normln"/>
    <w:uiPriority w:val="39"/>
    <w:unhideWhenUsed/>
    <w:rsid w:val="000A06D7"/>
    <w:pPr>
      <w:numPr>
        <w:numId w:val="0"/>
      </w:numPr>
      <w:spacing w:before="480" w:line="276" w:lineRule="auto"/>
      <w:outlineLvl w:val="9"/>
    </w:pPr>
    <w:rPr>
      <w:b/>
      <w:bCs/>
      <w:sz w:val="28"/>
      <w:szCs w:val="28"/>
      <w:lang w:val="en-US"/>
    </w:rPr>
  </w:style>
  <w:style w:type="paragraph" w:styleId="Obsah1">
    <w:name w:val="toc 1"/>
    <w:basedOn w:val="Normln"/>
    <w:next w:val="Normln"/>
    <w:autoRedefine/>
    <w:uiPriority w:val="39"/>
    <w:unhideWhenUsed/>
    <w:rsid w:val="00CE45F7"/>
    <w:pPr>
      <w:tabs>
        <w:tab w:val="left" w:pos="480"/>
        <w:tab w:val="right" w:leader="dot" w:pos="9054"/>
      </w:tabs>
      <w:spacing w:before="120"/>
    </w:pPr>
    <w:rPr>
      <w:rFonts w:cs="Calibri"/>
      <w:b/>
      <w:bCs/>
      <w:caps/>
      <w:sz w:val="20"/>
      <w:szCs w:val="20"/>
    </w:rPr>
  </w:style>
  <w:style w:type="paragraph" w:styleId="Obsah2">
    <w:name w:val="toc 2"/>
    <w:basedOn w:val="Normln"/>
    <w:next w:val="Normln"/>
    <w:autoRedefine/>
    <w:uiPriority w:val="39"/>
    <w:unhideWhenUsed/>
    <w:rsid w:val="00CE45F7"/>
    <w:pPr>
      <w:tabs>
        <w:tab w:val="left" w:pos="960"/>
        <w:tab w:val="right" w:leader="dot" w:pos="9054"/>
      </w:tabs>
      <w:ind w:left="510"/>
    </w:pPr>
    <w:rPr>
      <w:rFonts w:cs="Calibri"/>
      <w:smallCaps/>
      <w:sz w:val="20"/>
      <w:szCs w:val="20"/>
    </w:rPr>
  </w:style>
  <w:style w:type="paragraph" w:styleId="Obsah3">
    <w:name w:val="toc 3"/>
    <w:basedOn w:val="Normln"/>
    <w:next w:val="Normln"/>
    <w:autoRedefine/>
    <w:uiPriority w:val="39"/>
    <w:unhideWhenUsed/>
    <w:rsid w:val="000A06D7"/>
    <w:pPr>
      <w:ind w:left="480"/>
    </w:pPr>
    <w:rPr>
      <w:rFonts w:cs="Calibri"/>
      <w:i/>
      <w:iCs/>
      <w:sz w:val="20"/>
      <w:szCs w:val="20"/>
    </w:rPr>
  </w:style>
  <w:style w:type="paragraph" w:styleId="Obsah4">
    <w:name w:val="toc 4"/>
    <w:basedOn w:val="Normln"/>
    <w:next w:val="Normln"/>
    <w:autoRedefine/>
    <w:uiPriority w:val="39"/>
    <w:unhideWhenUsed/>
    <w:rsid w:val="000A06D7"/>
    <w:pPr>
      <w:ind w:left="720"/>
    </w:pPr>
    <w:rPr>
      <w:rFonts w:cs="Calibri"/>
      <w:sz w:val="18"/>
      <w:szCs w:val="18"/>
    </w:rPr>
  </w:style>
  <w:style w:type="paragraph" w:styleId="Obsah5">
    <w:name w:val="toc 5"/>
    <w:basedOn w:val="Normln"/>
    <w:next w:val="Normln"/>
    <w:autoRedefine/>
    <w:uiPriority w:val="39"/>
    <w:unhideWhenUsed/>
    <w:rsid w:val="000A06D7"/>
    <w:pPr>
      <w:ind w:left="960"/>
    </w:pPr>
    <w:rPr>
      <w:rFonts w:cs="Calibri"/>
      <w:sz w:val="18"/>
      <w:szCs w:val="18"/>
    </w:rPr>
  </w:style>
  <w:style w:type="paragraph" w:styleId="Obsah6">
    <w:name w:val="toc 6"/>
    <w:basedOn w:val="Normln"/>
    <w:next w:val="Normln"/>
    <w:autoRedefine/>
    <w:uiPriority w:val="39"/>
    <w:unhideWhenUsed/>
    <w:rsid w:val="000A06D7"/>
    <w:pPr>
      <w:ind w:left="1200"/>
    </w:pPr>
    <w:rPr>
      <w:rFonts w:cs="Calibri"/>
      <w:sz w:val="18"/>
      <w:szCs w:val="18"/>
    </w:rPr>
  </w:style>
  <w:style w:type="paragraph" w:styleId="Obsah7">
    <w:name w:val="toc 7"/>
    <w:basedOn w:val="Normln"/>
    <w:next w:val="Normln"/>
    <w:autoRedefine/>
    <w:uiPriority w:val="39"/>
    <w:unhideWhenUsed/>
    <w:rsid w:val="000A06D7"/>
    <w:pPr>
      <w:ind w:left="1440"/>
    </w:pPr>
    <w:rPr>
      <w:rFonts w:cs="Calibri"/>
      <w:sz w:val="18"/>
      <w:szCs w:val="18"/>
    </w:rPr>
  </w:style>
  <w:style w:type="paragraph" w:styleId="Obsah8">
    <w:name w:val="toc 8"/>
    <w:basedOn w:val="Normln"/>
    <w:next w:val="Normln"/>
    <w:autoRedefine/>
    <w:uiPriority w:val="39"/>
    <w:unhideWhenUsed/>
    <w:rsid w:val="000A06D7"/>
    <w:pPr>
      <w:ind w:left="1680"/>
    </w:pPr>
    <w:rPr>
      <w:rFonts w:cs="Calibri"/>
      <w:sz w:val="18"/>
      <w:szCs w:val="18"/>
    </w:rPr>
  </w:style>
  <w:style w:type="paragraph" w:styleId="Obsah9">
    <w:name w:val="toc 9"/>
    <w:basedOn w:val="Normln"/>
    <w:next w:val="Normln"/>
    <w:autoRedefine/>
    <w:uiPriority w:val="39"/>
    <w:unhideWhenUsed/>
    <w:rsid w:val="000A06D7"/>
    <w:pPr>
      <w:ind w:left="1920"/>
    </w:pPr>
    <w:rPr>
      <w:rFonts w:cs="Calibri"/>
      <w:sz w:val="18"/>
      <w:szCs w:val="18"/>
    </w:rPr>
  </w:style>
  <w:style w:type="character" w:styleId="Hypertextovodkaz">
    <w:name w:val="Hyperlink"/>
    <w:uiPriority w:val="99"/>
    <w:unhideWhenUsed/>
    <w:rsid w:val="000A06D7"/>
    <w:rPr>
      <w:color w:val="0563C1"/>
      <w:u w:val="single"/>
    </w:rPr>
  </w:style>
  <w:style w:type="paragraph" w:customStyle="1" w:styleId="HEADING0">
    <w:name w:val="HEADING"/>
    <w:basedOn w:val="Normln"/>
    <w:rsid w:val="005206F6"/>
    <w:pPr>
      <w:jc w:val="center"/>
    </w:pPr>
    <w:rPr>
      <w:b/>
      <w:bCs/>
    </w:rPr>
  </w:style>
  <w:style w:type="numbering" w:customStyle="1" w:styleId="Bullet">
    <w:name w:val="Bullet"/>
    <w:basedOn w:val="Bezseznamu"/>
    <w:uiPriority w:val="99"/>
    <w:rsid w:val="005206F6"/>
    <w:pPr>
      <w:numPr>
        <w:numId w:val="6"/>
      </w:numPr>
    </w:pPr>
  </w:style>
  <w:style w:type="paragraph" w:styleId="Seznamsodrkami">
    <w:name w:val="List Bullet"/>
    <w:basedOn w:val="Normln"/>
    <w:uiPriority w:val="99"/>
    <w:unhideWhenUsed/>
    <w:rsid w:val="005206F6"/>
    <w:pPr>
      <w:numPr>
        <w:numId w:val="5"/>
      </w:numPr>
      <w:contextualSpacing/>
    </w:pPr>
  </w:style>
  <w:style w:type="paragraph" w:customStyle="1" w:styleId="X3">
    <w:name w:val="X3"/>
    <w:basedOn w:val="X2"/>
    <w:link w:val="X3Char"/>
    <w:qFormat/>
    <w:rsid w:val="002E737D"/>
    <w:pPr>
      <w:numPr>
        <w:ilvl w:val="2"/>
      </w:numPr>
    </w:pPr>
  </w:style>
  <w:style w:type="paragraph" w:styleId="Odstavecseseznamem">
    <w:name w:val="List Paragraph"/>
    <w:basedOn w:val="Normln"/>
    <w:uiPriority w:val="34"/>
    <w:qFormat/>
    <w:rsid w:val="00AB762F"/>
    <w:pPr>
      <w:ind w:left="720"/>
      <w:contextualSpacing/>
    </w:pPr>
  </w:style>
  <w:style w:type="paragraph" w:customStyle="1" w:styleId="Body2">
    <w:name w:val="Body 2"/>
    <w:basedOn w:val="Body1"/>
    <w:qFormat/>
    <w:rsid w:val="002E737D"/>
    <w:pPr>
      <w:tabs>
        <w:tab w:val="left" w:pos="1030"/>
      </w:tabs>
      <w:ind w:left="1134"/>
    </w:pPr>
  </w:style>
  <w:style w:type="paragraph" w:customStyle="1" w:styleId="XParties">
    <w:name w:val="X Parties"/>
    <w:qFormat/>
    <w:rsid w:val="005C17A9"/>
    <w:pPr>
      <w:numPr>
        <w:numId w:val="11"/>
      </w:numPr>
      <w:spacing w:after="120" w:line="264" w:lineRule="auto"/>
      <w:jc w:val="both"/>
    </w:pPr>
    <w:rPr>
      <w:rFonts w:ascii="Arial" w:hAnsi="Arial" w:cs="Arial"/>
      <w:sz w:val="22"/>
      <w:szCs w:val="22"/>
      <w:lang w:val="en-GB" w:eastAsia="en-US"/>
    </w:rPr>
  </w:style>
  <w:style w:type="paragraph" w:customStyle="1" w:styleId="CZParties">
    <w:name w:val="CZ Parties"/>
    <w:next w:val="Normln"/>
    <w:qFormat/>
    <w:rsid w:val="005C17A9"/>
    <w:pPr>
      <w:numPr>
        <w:numId w:val="10"/>
      </w:numPr>
      <w:spacing w:after="120" w:line="264" w:lineRule="auto"/>
      <w:jc w:val="both"/>
    </w:pPr>
    <w:rPr>
      <w:rFonts w:ascii="Arial" w:hAnsi="Arial" w:cs="Arial"/>
      <w:sz w:val="22"/>
      <w:szCs w:val="22"/>
      <w:lang w:eastAsia="en-US"/>
    </w:rPr>
  </w:style>
  <w:style w:type="paragraph" w:customStyle="1" w:styleId="CZPreambule">
    <w:name w:val="CZ Preambule"/>
    <w:qFormat/>
    <w:rsid w:val="004F66BE"/>
    <w:pPr>
      <w:numPr>
        <w:numId w:val="12"/>
      </w:numPr>
      <w:spacing w:after="120" w:line="264" w:lineRule="auto"/>
      <w:ind w:left="567" w:hanging="567"/>
      <w:jc w:val="both"/>
    </w:pPr>
    <w:rPr>
      <w:rFonts w:ascii="Arial" w:hAnsi="Arial" w:cs="Arial"/>
      <w:sz w:val="22"/>
      <w:szCs w:val="22"/>
      <w:lang w:eastAsia="en-US"/>
    </w:rPr>
  </w:style>
  <w:style w:type="paragraph" w:customStyle="1" w:styleId="XPreambule">
    <w:name w:val="X Preambule"/>
    <w:basedOn w:val="Odstavecseseznamem"/>
    <w:qFormat/>
    <w:rsid w:val="005C17A9"/>
    <w:pPr>
      <w:numPr>
        <w:numId w:val="13"/>
      </w:numPr>
    </w:pPr>
    <w:rPr>
      <w:noProof w:val="0"/>
    </w:rPr>
  </w:style>
  <w:style w:type="paragraph" w:customStyle="1" w:styleId="Body1">
    <w:name w:val="Body 1"/>
    <w:basedOn w:val="Normln"/>
    <w:qFormat/>
    <w:rsid w:val="002E737D"/>
    <w:pPr>
      <w:ind w:left="567"/>
    </w:pPr>
    <w:rPr>
      <w:bCs/>
      <w:noProof w:val="0"/>
      <w:lang w:val="cs-CZ"/>
    </w:rPr>
  </w:style>
  <w:style w:type="paragraph" w:customStyle="1" w:styleId="X4">
    <w:name w:val="X4"/>
    <w:qFormat/>
    <w:rsid w:val="002E737D"/>
    <w:pPr>
      <w:numPr>
        <w:ilvl w:val="3"/>
        <w:numId w:val="9"/>
      </w:numPr>
      <w:spacing w:after="120" w:line="264" w:lineRule="auto"/>
      <w:jc w:val="both"/>
    </w:pPr>
    <w:rPr>
      <w:rFonts w:ascii="Arial" w:eastAsiaTheme="minorHAnsi" w:hAnsi="Arial" w:cs="Arial"/>
      <w:noProof/>
      <w:sz w:val="22"/>
      <w:lang w:eastAsia="en-US"/>
    </w:rPr>
  </w:style>
  <w:style w:type="paragraph" w:customStyle="1" w:styleId="Ploha">
    <w:name w:val="Příloha"/>
    <w:next w:val="Normln"/>
    <w:qFormat/>
    <w:rsid w:val="005C78AD"/>
    <w:pPr>
      <w:pageBreakBefore/>
      <w:numPr>
        <w:numId w:val="18"/>
      </w:numPr>
      <w:spacing w:after="120" w:line="288" w:lineRule="auto"/>
    </w:pPr>
    <w:rPr>
      <w:rFonts w:ascii="Arial" w:eastAsiaTheme="minorHAnsi" w:hAnsi="Arial" w:cs="Arial"/>
      <w:b/>
      <w:bCs/>
      <w:caps/>
      <w:noProof/>
      <w:sz w:val="22"/>
      <w:szCs w:val="22"/>
      <w:lang w:eastAsia="en-US"/>
    </w:rPr>
  </w:style>
  <w:style w:type="character" w:customStyle="1" w:styleId="X1Char">
    <w:name w:val="X1 Char"/>
    <w:basedOn w:val="Standardnpsmoodstavce"/>
    <w:link w:val="X1"/>
    <w:rsid w:val="009158A1"/>
    <w:rPr>
      <w:rFonts w:ascii="Arial" w:hAnsi="Arial" w:cs="Arial"/>
      <w:b/>
      <w:caps/>
      <w:lang w:val="en-GB" w:eastAsia="en-US"/>
    </w:rPr>
  </w:style>
  <w:style w:type="character" w:customStyle="1" w:styleId="X2Char">
    <w:name w:val="X2 Char"/>
    <w:basedOn w:val="X1Char"/>
    <w:link w:val="X2"/>
    <w:rsid w:val="009158A1"/>
    <w:rPr>
      <w:rFonts w:ascii="Arial" w:hAnsi="Arial" w:cs="Arial"/>
      <w:b w:val="0"/>
      <w:caps w:val="0"/>
      <w:sz w:val="22"/>
      <w:szCs w:val="22"/>
      <w:lang w:val="en-GB" w:eastAsia="en-US"/>
    </w:rPr>
  </w:style>
  <w:style w:type="character" w:customStyle="1" w:styleId="X3Char">
    <w:name w:val="X3 Char"/>
    <w:basedOn w:val="X2Char"/>
    <w:link w:val="X3"/>
    <w:rsid w:val="002E737D"/>
    <w:rPr>
      <w:rFonts w:ascii="Arial" w:hAnsi="Arial" w:cs="Arial"/>
      <w:b w:val="0"/>
      <w:caps w:val="0"/>
      <w:sz w:val="22"/>
      <w:szCs w:val="22"/>
      <w:lang w:val="en-GB" w:eastAsia="en-US"/>
    </w:rPr>
  </w:style>
  <w:style w:type="paragraph" w:customStyle="1" w:styleId="Annex">
    <w:name w:val="Annex"/>
    <w:basedOn w:val="Ploha"/>
    <w:qFormat/>
    <w:rsid w:val="005C78AD"/>
    <w:pPr>
      <w:numPr>
        <w:numId w:val="19"/>
      </w:numPr>
    </w:pPr>
    <w:rPr>
      <w:noProof w:val="0"/>
      <w:lang w:val="en-GB"/>
    </w:rPr>
  </w:style>
  <w:style w:type="paragraph" w:styleId="Textpoznpodarou">
    <w:name w:val="footnote text"/>
    <w:basedOn w:val="Normln"/>
    <w:link w:val="TextpoznpodarouChar"/>
    <w:uiPriority w:val="99"/>
    <w:semiHidden/>
    <w:unhideWhenUsed/>
    <w:rsid w:val="00A9098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90986"/>
    <w:rPr>
      <w:rFonts w:ascii="Arial" w:hAnsi="Arial" w:cs="Arial"/>
      <w:noProof/>
      <w:lang w:val="en-GB" w:eastAsia="en-US"/>
    </w:rPr>
  </w:style>
  <w:style w:type="character" w:styleId="Znakapoznpodarou">
    <w:name w:val="footnote reference"/>
    <w:basedOn w:val="Standardnpsmoodstavce"/>
    <w:uiPriority w:val="99"/>
    <w:semiHidden/>
    <w:unhideWhenUsed/>
    <w:rsid w:val="00A90986"/>
    <w:rPr>
      <w:vertAlign w:val="superscript"/>
    </w:rPr>
  </w:style>
  <w:style w:type="paragraph" w:customStyle="1" w:styleId="Body3">
    <w:name w:val="Body 3"/>
    <w:basedOn w:val="Body2"/>
    <w:qFormat/>
    <w:rsid w:val="002E737D"/>
    <w:pPr>
      <w:ind w:left="1701"/>
    </w:pPr>
  </w:style>
  <w:style w:type="table" w:customStyle="1" w:styleId="Mkatabulky1">
    <w:name w:val="Mřížka tabulky1"/>
    <w:basedOn w:val="Normlntabulka"/>
    <w:next w:val="Mkatabulky"/>
    <w:uiPriority w:val="39"/>
    <w:rsid w:val="00C02A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1">
    <w:name w:val="CZ 1"/>
    <w:basedOn w:val="Normln"/>
    <w:autoRedefine/>
    <w:qFormat/>
    <w:rsid w:val="00D607E3"/>
    <w:pPr>
      <w:numPr>
        <w:numId w:val="36"/>
      </w:numPr>
      <w:spacing w:before="200" w:after="80" w:line="22" w:lineRule="atLeast"/>
      <w:ind w:left="601" w:hanging="601"/>
    </w:pPr>
    <w:rPr>
      <w:rFonts w:eastAsiaTheme="minorHAnsi"/>
      <w:b/>
      <w:bCs/>
      <w:caps/>
      <w:noProof w:val="0"/>
      <w:sz w:val="20"/>
      <w:szCs w:val="20"/>
      <w:lang w:val="cs-CZ"/>
    </w:rPr>
  </w:style>
  <w:style w:type="paragraph" w:customStyle="1" w:styleId="CZ2">
    <w:name w:val="CZ 2"/>
    <w:basedOn w:val="Normln"/>
    <w:qFormat/>
    <w:rsid w:val="00C02A78"/>
    <w:pPr>
      <w:numPr>
        <w:ilvl w:val="1"/>
        <w:numId w:val="36"/>
      </w:numPr>
      <w:spacing w:line="22" w:lineRule="atLeast"/>
    </w:pPr>
    <w:rPr>
      <w:rFonts w:eastAsiaTheme="minorHAnsi"/>
      <w:noProof w:val="0"/>
      <w:lang w:val="cs-CZ"/>
    </w:rPr>
  </w:style>
  <w:style w:type="paragraph" w:customStyle="1" w:styleId="CZ3">
    <w:name w:val="CZ 3"/>
    <w:basedOn w:val="Normln"/>
    <w:qFormat/>
    <w:rsid w:val="00C02A78"/>
    <w:pPr>
      <w:numPr>
        <w:ilvl w:val="2"/>
        <w:numId w:val="36"/>
      </w:numPr>
      <w:spacing w:line="22" w:lineRule="atLeast"/>
    </w:pPr>
    <w:rPr>
      <w:rFonts w:eastAsiaTheme="minorHAnsi"/>
      <w:noProof w:val="0"/>
      <w:lang w:val="cs-CZ"/>
    </w:rPr>
  </w:style>
  <w:style w:type="paragraph" w:customStyle="1" w:styleId="CZ4">
    <w:name w:val="CZ 4"/>
    <w:basedOn w:val="Normln"/>
    <w:qFormat/>
    <w:rsid w:val="00C02A78"/>
    <w:pPr>
      <w:numPr>
        <w:ilvl w:val="3"/>
        <w:numId w:val="36"/>
      </w:numPr>
    </w:pPr>
    <w:rPr>
      <w:rFonts w:eastAsiaTheme="minorHAnsi"/>
      <w:noProof w:val="0"/>
      <w:lang w:val="cs-CZ"/>
    </w:rPr>
  </w:style>
  <w:style w:type="paragraph" w:styleId="Textbubliny">
    <w:name w:val="Balloon Text"/>
    <w:basedOn w:val="Normln"/>
    <w:link w:val="TextbublinyChar"/>
    <w:uiPriority w:val="99"/>
    <w:semiHidden/>
    <w:unhideWhenUsed/>
    <w:rsid w:val="005070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702A"/>
    <w:rPr>
      <w:rFonts w:ascii="Segoe UI" w:hAnsi="Segoe UI" w:cs="Segoe UI"/>
      <w:noProof/>
      <w:sz w:val="18"/>
      <w:szCs w:val="18"/>
      <w:lang w:val="en-GB" w:eastAsia="en-US"/>
    </w:rPr>
  </w:style>
  <w:style w:type="paragraph" w:styleId="Revize">
    <w:name w:val="Revision"/>
    <w:hidden/>
    <w:uiPriority w:val="99"/>
    <w:semiHidden/>
    <w:rsid w:val="00E67065"/>
    <w:rPr>
      <w:rFonts w:ascii="Arial" w:hAnsi="Arial" w:cs="Arial"/>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2386">
      <w:bodyDiv w:val="1"/>
      <w:marLeft w:val="0"/>
      <w:marRight w:val="0"/>
      <w:marTop w:val="0"/>
      <w:marBottom w:val="0"/>
      <w:divBdr>
        <w:top w:val="none" w:sz="0" w:space="0" w:color="auto"/>
        <w:left w:val="none" w:sz="0" w:space="0" w:color="auto"/>
        <w:bottom w:val="none" w:sz="0" w:space="0" w:color="auto"/>
        <w:right w:val="none" w:sz="0" w:space="0" w:color="auto"/>
      </w:divBdr>
    </w:div>
    <w:div w:id="169833750">
      <w:bodyDiv w:val="1"/>
      <w:marLeft w:val="0"/>
      <w:marRight w:val="0"/>
      <w:marTop w:val="0"/>
      <w:marBottom w:val="0"/>
      <w:divBdr>
        <w:top w:val="none" w:sz="0" w:space="0" w:color="auto"/>
        <w:left w:val="none" w:sz="0" w:space="0" w:color="auto"/>
        <w:bottom w:val="none" w:sz="0" w:space="0" w:color="auto"/>
        <w:right w:val="none" w:sz="0" w:space="0" w:color="auto"/>
      </w:divBdr>
    </w:div>
    <w:div w:id="396973194">
      <w:bodyDiv w:val="1"/>
      <w:marLeft w:val="0"/>
      <w:marRight w:val="0"/>
      <w:marTop w:val="0"/>
      <w:marBottom w:val="0"/>
      <w:divBdr>
        <w:top w:val="none" w:sz="0" w:space="0" w:color="auto"/>
        <w:left w:val="none" w:sz="0" w:space="0" w:color="auto"/>
        <w:bottom w:val="none" w:sz="0" w:space="0" w:color="auto"/>
        <w:right w:val="none" w:sz="0" w:space="0" w:color="auto"/>
      </w:divBdr>
    </w:div>
    <w:div w:id="600379757">
      <w:bodyDiv w:val="1"/>
      <w:marLeft w:val="0"/>
      <w:marRight w:val="0"/>
      <w:marTop w:val="0"/>
      <w:marBottom w:val="0"/>
      <w:divBdr>
        <w:top w:val="none" w:sz="0" w:space="0" w:color="auto"/>
        <w:left w:val="none" w:sz="0" w:space="0" w:color="auto"/>
        <w:bottom w:val="none" w:sz="0" w:space="0" w:color="auto"/>
        <w:right w:val="none" w:sz="0" w:space="0" w:color="auto"/>
      </w:divBdr>
    </w:div>
    <w:div w:id="1146439203">
      <w:bodyDiv w:val="1"/>
      <w:marLeft w:val="0"/>
      <w:marRight w:val="0"/>
      <w:marTop w:val="0"/>
      <w:marBottom w:val="0"/>
      <w:divBdr>
        <w:top w:val="none" w:sz="0" w:space="0" w:color="auto"/>
        <w:left w:val="none" w:sz="0" w:space="0" w:color="auto"/>
        <w:bottom w:val="none" w:sz="0" w:space="0" w:color="auto"/>
        <w:right w:val="none" w:sz="0" w:space="0" w:color="auto"/>
      </w:divBdr>
    </w:div>
    <w:div w:id="1208251021">
      <w:bodyDiv w:val="1"/>
      <w:marLeft w:val="0"/>
      <w:marRight w:val="0"/>
      <w:marTop w:val="0"/>
      <w:marBottom w:val="0"/>
      <w:divBdr>
        <w:top w:val="none" w:sz="0" w:space="0" w:color="auto"/>
        <w:left w:val="none" w:sz="0" w:space="0" w:color="auto"/>
        <w:bottom w:val="none" w:sz="0" w:space="0" w:color="auto"/>
        <w:right w:val="none" w:sz="0" w:space="0" w:color="auto"/>
      </w:divBdr>
    </w:div>
    <w:div w:id="1956785746">
      <w:bodyDiv w:val="1"/>
      <w:marLeft w:val="0"/>
      <w:marRight w:val="0"/>
      <w:marTop w:val="0"/>
      <w:marBottom w:val="0"/>
      <w:divBdr>
        <w:top w:val="none" w:sz="0" w:space="0" w:color="auto"/>
        <w:left w:val="none" w:sz="0" w:space="0" w:color="auto"/>
        <w:bottom w:val="none" w:sz="0" w:space="0" w:color="auto"/>
        <w:right w:val="none" w:sz="0" w:space="0" w:color="auto"/>
      </w:divBdr>
    </w:div>
    <w:div w:id="1984961097">
      <w:bodyDiv w:val="1"/>
      <w:marLeft w:val="0"/>
      <w:marRight w:val="0"/>
      <w:marTop w:val="0"/>
      <w:marBottom w:val="0"/>
      <w:divBdr>
        <w:top w:val="none" w:sz="0" w:space="0" w:color="auto"/>
        <w:left w:val="none" w:sz="0" w:space="0" w:color="auto"/>
        <w:bottom w:val="none" w:sz="0" w:space="0" w:color="auto"/>
        <w:right w:val="none" w:sz="0" w:space="0" w:color="auto"/>
      </w:divBdr>
    </w:div>
    <w:div w:id="20334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_Provozn&#237;\&#353;ablony\Smlouva%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D284B4B66BF4E489B5199B1653951A0" ma:contentTypeVersion="0" ma:contentTypeDescription="Vytvoří nový dokument" ma:contentTypeScope="" ma:versionID="78ab14552965a0c92199eecf55803ddb">
  <xsd:schema xmlns:xsd="http://www.w3.org/2001/XMLSchema" xmlns:xs="http://www.w3.org/2001/XMLSchema" xmlns:p="http://schemas.microsoft.com/office/2006/metadata/properties" targetNamespace="http://schemas.microsoft.com/office/2006/metadata/properties" ma:root="true" ma:fieldsID="ce0885882fb67022fa0e44908e625f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43174-D710-4FE6-BFDC-C4A5B6A06F78}">
  <ds:schemaRefs>
    <ds:schemaRef ds:uri="http://schemas.microsoft.com/sharepoint/v3/contenttype/forms"/>
  </ds:schemaRefs>
</ds:datastoreItem>
</file>

<file path=customXml/itemProps2.xml><?xml version="1.0" encoding="utf-8"?>
<ds:datastoreItem xmlns:ds="http://schemas.openxmlformats.org/officeDocument/2006/customXml" ds:itemID="{5D012545-DC6E-44FA-BB83-C5A663DB2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5EFE8-AB98-4F48-A099-B9B88E6E06A9}">
  <ds:schemaRefs>
    <ds:schemaRef ds:uri="http://schemas.openxmlformats.org/officeDocument/2006/bibliography"/>
  </ds:schemaRefs>
</ds:datastoreItem>
</file>

<file path=customXml/itemProps4.xml><?xml version="1.0" encoding="utf-8"?>
<ds:datastoreItem xmlns:ds="http://schemas.openxmlformats.org/officeDocument/2006/customXml" ds:itemID="{66C0D729-51B7-470D-9233-F70BCFC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 CZ-EN</Template>
  <TotalTime>367</TotalTime>
  <Pages>6</Pages>
  <Words>2000</Words>
  <Characters>11603</Characters>
  <Application>Microsoft Office Word</Application>
  <DocSecurity>0</DocSecurity>
  <Lines>483</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c:creator>
  <cp:keywords/>
  <dc:description/>
  <cp:lastModifiedBy>Pivko Petr</cp:lastModifiedBy>
  <cp:revision>47</cp:revision>
  <cp:lastPrinted>2025-04-02T13:23:00Z</cp:lastPrinted>
  <dcterms:created xsi:type="dcterms:W3CDTF">2025-04-01T14:49:00Z</dcterms:created>
  <dcterms:modified xsi:type="dcterms:W3CDTF">2025-04-02T13:29:00Z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0x010100AD284B4B66BF4E489B5199B1653951A0</vt:lpwstr>
  </property>
</Properties>
</file>